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9B" w:rsidRPr="004E0836" w:rsidRDefault="00826E42" w:rsidP="00826E42">
      <w:pPr>
        <w:jc w:val="center"/>
        <w:rPr>
          <w:sz w:val="28"/>
          <w:szCs w:val="28"/>
        </w:rPr>
      </w:pPr>
      <w:r w:rsidRPr="004E0836">
        <w:rPr>
          <w:sz w:val="28"/>
          <w:szCs w:val="28"/>
        </w:rPr>
        <w:t>Referat Informacji i Sprawdzeń</w:t>
      </w:r>
    </w:p>
    <w:p w:rsidR="006A2E9B" w:rsidRPr="004E0836" w:rsidRDefault="00012447" w:rsidP="00826E42">
      <w:pPr>
        <w:jc w:val="center"/>
        <w:rPr>
          <w:sz w:val="28"/>
          <w:szCs w:val="28"/>
        </w:rPr>
      </w:pPr>
      <w:r w:rsidRPr="004E0836">
        <w:rPr>
          <w:sz w:val="28"/>
          <w:szCs w:val="28"/>
        </w:rPr>
        <w:t>Oddziałowego Archiwum</w:t>
      </w:r>
      <w:r w:rsidR="00826E42" w:rsidRPr="004E0836">
        <w:rPr>
          <w:sz w:val="28"/>
          <w:szCs w:val="28"/>
        </w:rPr>
        <w:t xml:space="preserve"> IPN-KŚZpNP</w:t>
      </w:r>
    </w:p>
    <w:p w:rsidR="00826E42" w:rsidRPr="004E0836" w:rsidRDefault="00826E42" w:rsidP="00826E42">
      <w:pPr>
        <w:jc w:val="center"/>
        <w:rPr>
          <w:sz w:val="28"/>
          <w:szCs w:val="28"/>
        </w:rPr>
      </w:pPr>
      <w:r w:rsidRPr="004E0836">
        <w:rPr>
          <w:sz w:val="28"/>
          <w:szCs w:val="28"/>
        </w:rPr>
        <w:t>we Wrocławiu</w:t>
      </w:r>
    </w:p>
    <w:p w:rsidR="00826E42" w:rsidRPr="004E0836" w:rsidRDefault="00826E42">
      <w:pPr>
        <w:rPr>
          <w:sz w:val="28"/>
          <w:szCs w:val="28"/>
        </w:rPr>
      </w:pPr>
    </w:p>
    <w:p w:rsidR="00826E42" w:rsidRDefault="00826E42">
      <w:pPr>
        <w:rPr>
          <w:sz w:val="28"/>
          <w:szCs w:val="28"/>
        </w:rPr>
      </w:pPr>
    </w:p>
    <w:p w:rsidR="00FA7CCA" w:rsidRPr="004E0836" w:rsidRDefault="00FA7CCA">
      <w:pPr>
        <w:rPr>
          <w:sz w:val="28"/>
          <w:szCs w:val="28"/>
        </w:rPr>
      </w:pPr>
    </w:p>
    <w:p w:rsidR="006A2E9B" w:rsidRPr="008B4656" w:rsidRDefault="00FA7CCA" w:rsidP="00826E4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Zarys</w:t>
      </w:r>
      <w:r w:rsidR="00826E42" w:rsidRPr="008B4656">
        <w:rPr>
          <w:b/>
          <w:sz w:val="40"/>
          <w:szCs w:val="40"/>
        </w:rPr>
        <w:t xml:space="preserve"> ewidencji operacyjnej SB</w:t>
      </w:r>
    </w:p>
    <w:p w:rsidR="00826E42" w:rsidRPr="004E0836" w:rsidRDefault="00826E42">
      <w:pPr>
        <w:rPr>
          <w:sz w:val="28"/>
          <w:szCs w:val="28"/>
        </w:rPr>
      </w:pPr>
    </w:p>
    <w:p w:rsidR="00012447" w:rsidRPr="004E0836" w:rsidRDefault="00FA7CCA" w:rsidP="00FA7CCA">
      <w:pPr>
        <w:jc w:val="center"/>
        <w:rPr>
          <w:sz w:val="28"/>
          <w:szCs w:val="28"/>
        </w:rPr>
      </w:pPr>
      <w:r>
        <w:rPr>
          <w:sz w:val="28"/>
          <w:szCs w:val="28"/>
        </w:rPr>
        <w:t>Piotr Dyba</w:t>
      </w:r>
    </w:p>
    <w:p w:rsidR="00DF25B1" w:rsidRDefault="00DF25B1">
      <w:pPr>
        <w:rPr>
          <w:sz w:val="28"/>
          <w:szCs w:val="28"/>
        </w:rPr>
      </w:pPr>
    </w:p>
    <w:p w:rsidR="00FA7CCA" w:rsidRDefault="00FA7CCA">
      <w:pPr>
        <w:rPr>
          <w:sz w:val="28"/>
          <w:szCs w:val="28"/>
        </w:rPr>
      </w:pPr>
    </w:p>
    <w:p w:rsidR="00FA7CCA" w:rsidRPr="004E0836" w:rsidRDefault="00FA7CCA">
      <w:pPr>
        <w:rPr>
          <w:sz w:val="28"/>
          <w:szCs w:val="28"/>
        </w:rPr>
      </w:pPr>
    </w:p>
    <w:p w:rsidR="003D3B3E" w:rsidRPr="004E0836" w:rsidRDefault="004443FD" w:rsidP="00012447">
      <w:pPr>
        <w:jc w:val="center"/>
        <w:rPr>
          <w:b/>
          <w:sz w:val="28"/>
          <w:szCs w:val="28"/>
        </w:rPr>
      </w:pPr>
      <w:r w:rsidRPr="004E0836">
        <w:rPr>
          <w:b/>
          <w:sz w:val="28"/>
          <w:szCs w:val="28"/>
        </w:rPr>
        <w:t>Spis treści</w:t>
      </w:r>
    </w:p>
    <w:p w:rsidR="004E0836" w:rsidRPr="004E0836" w:rsidRDefault="004E0836">
      <w:pPr>
        <w:rPr>
          <w:sz w:val="28"/>
          <w:szCs w:val="28"/>
        </w:rPr>
      </w:pPr>
    </w:p>
    <w:p w:rsidR="00DF25B1" w:rsidRPr="004E0836" w:rsidRDefault="004E0836">
      <w:pPr>
        <w:rPr>
          <w:b/>
          <w:sz w:val="28"/>
          <w:szCs w:val="28"/>
        </w:rPr>
      </w:pPr>
      <w:r w:rsidRPr="004E0836">
        <w:rPr>
          <w:b/>
          <w:sz w:val="28"/>
          <w:szCs w:val="28"/>
        </w:rPr>
        <w:t>Prelekcje</w:t>
      </w:r>
    </w:p>
    <w:p w:rsidR="00FE6CD4" w:rsidRPr="004E0836" w:rsidRDefault="00FE6CD4" w:rsidP="00FE6CD4">
      <w:pPr>
        <w:rPr>
          <w:sz w:val="28"/>
          <w:szCs w:val="28"/>
        </w:rPr>
      </w:pPr>
      <w:r w:rsidRPr="004E0836">
        <w:rPr>
          <w:sz w:val="28"/>
          <w:szCs w:val="28"/>
        </w:rPr>
        <w:t>I – Pojęcie ewidencji operacyjnej</w:t>
      </w:r>
      <w:r w:rsidR="00B06557" w:rsidRPr="004E0836">
        <w:rPr>
          <w:sz w:val="28"/>
          <w:szCs w:val="28"/>
        </w:rPr>
        <w:t xml:space="preserve"> – str. 2</w:t>
      </w:r>
    </w:p>
    <w:p w:rsidR="00FE6CD4" w:rsidRPr="004E0836" w:rsidRDefault="00FE6CD4" w:rsidP="00FE6CD4">
      <w:pPr>
        <w:rPr>
          <w:sz w:val="28"/>
          <w:szCs w:val="28"/>
        </w:rPr>
      </w:pPr>
      <w:r w:rsidRPr="004E0836">
        <w:rPr>
          <w:sz w:val="28"/>
          <w:szCs w:val="28"/>
        </w:rPr>
        <w:t>II – Kartoteka ogólnoinformacyjna i kartoteki pochodne</w:t>
      </w:r>
      <w:r w:rsidR="00B06557" w:rsidRPr="004E0836">
        <w:rPr>
          <w:sz w:val="28"/>
          <w:szCs w:val="28"/>
        </w:rPr>
        <w:t xml:space="preserve"> – str. 3</w:t>
      </w:r>
    </w:p>
    <w:p w:rsidR="00FE6CD4" w:rsidRPr="004E0836" w:rsidRDefault="00FE6CD4" w:rsidP="00FE6CD4">
      <w:pPr>
        <w:rPr>
          <w:sz w:val="28"/>
          <w:szCs w:val="28"/>
        </w:rPr>
      </w:pPr>
      <w:r w:rsidRPr="004E0836">
        <w:rPr>
          <w:sz w:val="28"/>
          <w:szCs w:val="28"/>
        </w:rPr>
        <w:t>III – Układ fonetyczny kartotek</w:t>
      </w:r>
      <w:r w:rsidR="00B06557" w:rsidRPr="004E0836">
        <w:rPr>
          <w:sz w:val="28"/>
          <w:szCs w:val="28"/>
        </w:rPr>
        <w:t xml:space="preserve"> – str. 4</w:t>
      </w:r>
    </w:p>
    <w:p w:rsidR="00FE6CD4" w:rsidRPr="004E0836" w:rsidRDefault="00FE6CD4" w:rsidP="00FE6CD4">
      <w:pPr>
        <w:rPr>
          <w:sz w:val="28"/>
          <w:szCs w:val="28"/>
        </w:rPr>
      </w:pPr>
      <w:r w:rsidRPr="004E0836">
        <w:rPr>
          <w:sz w:val="28"/>
          <w:szCs w:val="28"/>
        </w:rPr>
        <w:t>IV – Stół kartoteczny</w:t>
      </w:r>
      <w:r w:rsidR="00B06557" w:rsidRPr="004E0836">
        <w:rPr>
          <w:sz w:val="28"/>
          <w:szCs w:val="28"/>
        </w:rPr>
        <w:t xml:space="preserve"> – str. 5</w:t>
      </w:r>
    </w:p>
    <w:p w:rsidR="004E0836" w:rsidRPr="004E0836" w:rsidRDefault="004E0836" w:rsidP="00FE6CD4">
      <w:pPr>
        <w:rPr>
          <w:sz w:val="28"/>
          <w:szCs w:val="28"/>
        </w:rPr>
      </w:pPr>
    </w:p>
    <w:p w:rsidR="004E0836" w:rsidRPr="004E0836" w:rsidRDefault="004E0836" w:rsidP="00FE6CD4">
      <w:pPr>
        <w:rPr>
          <w:b/>
          <w:sz w:val="28"/>
          <w:szCs w:val="28"/>
        </w:rPr>
      </w:pPr>
      <w:r w:rsidRPr="004E0836">
        <w:rPr>
          <w:b/>
          <w:sz w:val="28"/>
          <w:szCs w:val="28"/>
        </w:rPr>
        <w:t>Plansze</w:t>
      </w:r>
    </w:p>
    <w:p w:rsidR="00012447" w:rsidRPr="004E0836" w:rsidRDefault="00012447" w:rsidP="00012447">
      <w:pPr>
        <w:rPr>
          <w:sz w:val="28"/>
          <w:szCs w:val="28"/>
        </w:rPr>
      </w:pPr>
      <w:r w:rsidRPr="004E0836">
        <w:rPr>
          <w:sz w:val="28"/>
          <w:szCs w:val="28"/>
        </w:rPr>
        <w:t>V – Zarys historii ewidencji operacyjnej PRL</w:t>
      </w:r>
      <w:r w:rsidR="00B06557" w:rsidRPr="004E0836">
        <w:rPr>
          <w:sz w:val="28"/>
          <w:szCs w:val="28"/>
        </w:rPr>
        <w:t xml:space="preserve"> – str. 6</w:t>
      </w:r>
    </w:p>
    <w:p w:rsidR="00012447" w:rsidRPr="004E0836" w:rsidRDefault="00012447" w:rsidP="00012447">
      <w:pPr>
        <w:rPr>
          <w:sz w:val="28"/>
          <w:szCs w:val="28"/>
        </w:rPr>
      </w:pPr>
      <w:r w:rsidRPr="004E0836">
        <w:rPr>
          <w:sz w:val="28"/>
          <w:szCs w:val="28"/>
        </w:rPr>
        <w:t>VI – Układ fonetyczny i układ alfabetyczny kartotek</w:t>
      </w:r>
      <w:r w:rsidR="00B06557" w:rsidRPr="004E0836">
        <w:rPr>
          <w:sz w:val="28"/>
          <w:szCs w:val="28"/>
        </w:rPr>
        <w:t xml:space="preserve"> – str. 7</w:t>
      </w:r>
    </w:p>
    <w:p w:rsidR="00012447" w:rsidRPr="004E0836" w:rsidRDefault="00012447" w:rsidP="00012447">
      <w:pPr>
        <w:rPr>
          <w:sz w:val="28"/>
          <w:szCs w:val="28"/>
        </w:rPr>
      </w:pPr>
      <w:r w:rsidRPr="004E0836">
        <w:rPr>
          <w:sz w:val="28"/>
          <w:szCs w:val="28"/>
        </w:rPr>
        <w:t>VII – Główne zasady układu kartoteki fonetyczno-alfabetycznej</w:t>
      </w:r>
      <w:r w:rsidR="00B06557" w:rsidRPr="004E0836">
        <w:rPr>
          <w:sz w:val="28"/>
          <w:szCs w:val="28"/>
        </w:rPr>
        <w:t xml:space="preserve"> – str. 8</w:t>
      </w:r>
    </w:p>
    <w:p w:rsidR="00012447" w:rsidRPr="004E0836" w:rsidRDefault="00012447" w:rsidP="00012447">
      <w:pPr>
        <w:rPr>
          <w:sz w:val="28"/>
          <w:szCs w:val="28"/>
        </w:rPr>
      </w:pPr>
      <w:r w:rsidRPr="004E0836">
        <w:rPr>
          <w:sz w:val="28"/>
          <w:szCs w:val="28"/>
        </w:rPr>
        <w:t>VIII – Numeracja akt ewidencji operacyjnej</w:t>
      </w:r>
      <w:r w:rsidR="00B06557" w:rsidRPr="004E0836">
        <w:rPr>
          <w:sz w:val="28"/>
          <w:szCs w:val="28"/>
        </w:rPr>
        <w:t xml:space="preserve"> – str. 9</w:t>
      </w:r>
    </w:p>
    <w:p w:rsidR="006A2E9B" w:rsidRPr="004E0836" w:rsidRDefault="006A2E9B" w:rsidP="004D2CF9">
      <w:pPr>
        <w:rPr>
          <w:sz w:val="28"/>
          <w:szCs w:val="28"/>
        </w:rPr>
      </w:pPr>
    </w:p>
    <w:p w:rsidR="003D3B3E" w:rsidRPr="00D35331" w:rsidRDefault="004D2CF9" w:rsidP="004D2CF9">
      <w:pPr>
        <w:rPr>
          <w:b/>
          <w:sz w:val="28"/>
          <w:szCs w:val="28"/>
        </w:rPr>
      </w:pPr>
      <w:r w:rsidRPr="004E0836">
        <w:rPr>
          <w:sz w:val="28"/>
          <w:szCs w:val="28"/>
        </w:rPr>
        <w:br w:type="page"/>
      </w:r>
      <w:r w:rsidR="003D3B3E" w:rsidRPr="00D35331">
        <w:rPr>
          <w:b/>
          <w:sz w:val="28"/>
          <w:szCs w:val="28"/>
        </w:rPr>
        <w:lastRenderedPageBreak/>
        <w:t>I</w:t>
      </w:r>
      <w:r w:rsidRPr="00D35331">
        <w:rPr>
          <w:b/>
          <w:sz w:val="28"/>
          <w:szCs w:val="28"/>
        </w:rPr>
        <w:t xml:space="preserve"> – Pojęcie ewidencji operacyjnej</w:t>
      </w:r>
    </w:p>
    <w:p w:rsidR="00D35331" w:rsidRDefault="00FC18D6">
      <w:pPr>
        <w:rPr>
          <w:sz w:val="28"/>
          <w:szCs w:val="28"/>
        </w:rPr>
      </w:pPr>
      <w:r w:rsidRPr="00D35331">
        <w:rPr>
          <w:sz w:val="28"/>
          <w:szCs w:val="28"/>
        </w:rPr>
        <w:tab/>
      </w:r>
      <w:r w:rsidR="00B06731" w:rsidRPr="00D35331">
        <w:rPr>
          <w:sz w:val="28"/>
          <w:szCs w:val="28"/>
        </w:rPr>
        <w:t>W pomieszczeniu Kartoteki</w:t>
      </w:r>
      <w:r w:rsidRPr="00D35331">
        <w:rPr>
          <w:sz w:val="28"/>
          <w:szCs w:val="28"/>
        </w:rPr>
        <w:t xml:space="preserve"> </w:t>
      </w:r>
      <w:r w:rsidR="00512AF8" w:rsidRPr="00D35331">
        <w:rPr>
          <w:sz w:val="28"/>
          <w:szCs w:val="28"/>
        </w:rPr>
        <w:t>zgromadziliśmy prawie 300 metrów bieżących kartotek ewidencji operacyjnej byłej Służby Bezpieczeństwa oraz jej poprzedników.</w:t>
      </w:r>
      <w:r w:rsidR="00FA7CCA">
        <w:rPr>
          <w:sz w:val="28"/>
          <w:szCs w:val="28"/>
        </w:rPr>
        <w:t xml:space="preserve"> Ponad 600 metrów bieżących kartotek paszportowych znajduje się w jednym z magazynów.</w:t>
      </w:r>
    </w:p>
    <w:p w:rsidR="00FA7CCA" w:rsidRDefault="00FC18D6" w:rsidP="003D3B3E">
      <w:pPr>
        <w:rPr>
          <w:sz w:val="28"/>
          <w:szCs w:val="28"/>
        </w:rPr>
      </w:pPr>
      <w:r w:rsidRPr="00D35331">
        <w:rPr>
          <w:sz w:val="28"/>
          <w:szCs w:val="28"/>
        </w:rPr>
        <w:tab/>
        <w:t>Ewidencja operacyjna to zespół środków ewidencyjnych oraz system posługiwania się nimi</w:t>
      </w:r>
      <w:r w:rsidR="00D35331">
        <w:rPr>
          <w:sz w:val="28"/>
          <w:szCs w:val="28"/>
        </w:rPr>
        <w:t xml:space="preserve">. Ma </w:t>
      </w:r>
      <w:r w:rsidR="00496E57" w:rsidRPr="00D35331">
        <w:rPr>
          <w:sz w:val="28"/>
          <w:szCs w:val="28"/>
        </w:rPr>
        <w:t>na celu uzyskanie maksymalnych efektów działań podejmowanych przez służby specjalne.</w:t>
      </w:r>
      <w:r w:rsidRPr="00D35331">
        <w:rPr>
          <w:sz w:val="28"/>
          <w:szCs w:val="28"/>
        </w:rPr>
        <w:t xml:space="preserve"> </w:t>
      </w:r>
      <w:r w:rsidR="00D35331" w:rsidRPr="00D35331">
        <w:rPr>
          <w:sz w:val="28"/>
          <w:szCs w:val="28"/>
        </w:rPr>
        <w:t>W tamtych</w:t>
      </w:r>
      <w:r w:rsidRPr="00D35331">
        <w:rPr>
          <w:sz w:val="28"/>
          <w:szCs w:val="28"/>
        </w:rPr>
        <w:t xml:space="preserve"> czasach</w:t>
      </w:r>
      <w:r w:rsidR="00D35331" w:rsidRPr="00D35331">
        <w:rPr>
          <w:sz w:val="28"/>
          <w:szCs w:val="28"/>
        </w:rPr>
        <w:t>,</w:t>
      </w:r>
      <w:r w:rsidRPr="00D35331">
        <w:rPr>
          <w:sz w:val="28"/>
          <w:szCs w:val="28"/>
        </w:rPr>
        <w:t xml:space="preserve"> bez komputerów osobistych, bazą danych był przede wszystkim odpowiednio </w:t>
      </w:r>
      <w:r w:rsidR="00CB5FAD">
        <w:rPr>
          <w:sz w:val="28"/>
          <w:szCs w:val="28"/>
        </w:rPr>
        <w:t>ułożony papier</w:t>
      </w:r>
      <w:r w:rsidR="00D35331" w:rsidRPr="00D35331">
        <w:rPr>
          <w:sz w:val="28"/>
          <w:szCs w:val="28"/>
        </w:rPr>
        <w:t>:</w:t>
      </w:r>
      <w:r w:rsidRPr="00D35331">
        <w:rPr>
          <w:sz w:val="28"/>
          <w:szCs w:val="28"/>
        </w:rPr>
        <w:t xml:space="preserve"> kartoteki, księgi, skorowidze, wykazy, itp.</w:t>
      </w:r>
      <w:r w:rsidR="004D2CF9" w:rsidRPr="00D35331">
        <w:rPr>
          <w:sz w:val="28"/>
          <w:szCs w:val="28"/>
        </w:rPr>
        <w:t xml:space="preserve"> </w:t>
      </w:r>
      <w:r w:rsidR="003D3B3E" w:rsidRPr="00D35331">
        <w:rPr>
          <w:sz w:val="28"/>
          <w:szCs w:val="28"/>
        </w:rPr>
        <w:t>Większość środków ewidencyjnych stanowiły kartoteki utworzone z tysięcy pojedynczych, kartonowych kart</w:t>
      </w:r>
      <w:r w:rsidR="00FA7CCA">
        <w:rPr>
          <w:sz w:val="28"/>
          <w:szCs w:val="28"/>
        </w:rPr>
        <w:t>.</w:t>
      </w:r>
    </w:p>
    <w:p w:rsidR="003D3B3E" w:rsidRPr="00D35331" w:rsidRDefault="003D3B3E" w:rsidP="003D3B3E">
      <w:pPr>
        <w:rPr>
          <w:sz w:val="28"/>
          <w:szCs w:val="28"/>
        </w:rPr>
      </w:pPr>
      <w:r w:rsidRPr="00D35331">
        <w:rPr>
          <w:sz w:val="28"/>
          <w:szCs w:val="28"/>
        </w:rPr>
        <w:tab/>
        <w:t xml:space="preserve">Karty zawierają dane osób stanowiących przedmiot zainteresowania służb specjalnych. Tę samą informację można było przepisać </w:t>
      </w:r>
      <w:r w:rsidR="00671F30" w:rsidRPr="00D35331">
        <w:rPr>
          <w:sz w:val="28"/>
          <w:szCs w:val="28"/>
        </w:rPr>
        <w:t>na kart</w:t>
      </w:r>
      <w:r w:rsidR="00D35331">
        <w:rPr>
          <w:sz w:val="28"/>
          <w:szCs w:val="28"/>
        </w:rPr>
        <w:t>y</w:t>
      </w:r>
      <w:r w:rsidR="00671F30" w:rsidRPr="00D35331">
        <w:rPr>
          <w:sz w:val="28"/>
          <w:szCs w:val="28"/>
        </w:rPr>
        <w:t xml:space="preserve"> </w:t>
      </w:r>
      <w:r w:rsidR="00D35331">
        <w:rPr>
          <w:sz w:val="28"/>
          <w:szCs w:val="28"/>
        </w:rPr>
        <w:t>o innym układzie danych</w:t>
      </w:r>
      <w:r w:rsidR="004544F2">
        <w:rPr>
          <w:sz w:val="28"/>
          <w:szCs w:val="28"/>
        </w:rPr>
        <w:t xml:space="preserve"> i</w:t>
      </w:r>
      <w:r w:rsidRPr="00D35331">
        <w:rPr>
          <w:sz w:val="28"/>
          <w:szCs w:val="28"/>
        </w:rPr>
        <w:t xml:space="preserve"> ułożyć w</w:t>
      </w:r>
      <w:r w:rsidR="004544F2">
        <w:rPr>
          <w:sz w:val="28"/>
          <w:szCs w:val="28"/>
        </w:rPr>
        <w:t>edług</w:t>
      </w:r>
      <w:r w:rsidRPr="00D35331">
        <w:rPr>
          <w:sz w:val="28"/>
          <w:szCs w:val="28"/>
        </w:rPr>
        <w:t xml:space="preserve"> </w:t>
      </w:r>
      <w:r w:rsidR="004544F2">
        <w:rPr>
          <w:sz w:val="28"/>
          <w:szCs w:val="28"/>
        </w:rPr>
        <w:t>odrębnego klucza</w:t>
      </w:r>
      <w:r w:rsidRPr="00D35331">
        <w:rPr>
          <w:sz w:val="28"/>
          <w:szCs w:val="28"/>
        </w:rPr>
        <w:t>, tworz</w:t>
      </w:r>
      <w:r w:rsidR="00A508A3" w:rsidRPr="00D35331">
        <w:rPr>
          <w:sz w:val="28"/>
          <w:szCs w:val="28"/>
        </w:rPr>
        <w:t>ąc</w:t>
      </w:r>
      <w:r w:rsidRPr="00D35331">
        <w:rPr>
          <w:sz w:val="28"/>
          <w:szCs w:val="28"/>
        </w:rPr>
        <w:t xml:space="preserve"> różne kartoteki. Dzięki temu można było szyb</w:t>
      </w:r>
      <w:r w:rsidR="00671F30" w:rsidRPr="00D35331">
        <w:rPr>
          <w:sz w:val="28"/>
          <w:szCs w:val="28"/>
        </w:rPr>
        <w:t>ciej</w:t>
      </w:r>
      <w:r w:rsidRPr="00D35331">
        <w:rPr>
          <w:sz w:val="28"/>
          <w:szCs w:val="28"/>
        </w:rPr>
        <w:t xml:space="preserve"> dotrzeć do</w:t>
      </w:r>
      <w:r w:rsidR="00512AF8" w:rsidRPr="00D35331">
        <w:rPr>
          <w:sz w:val="28"/>
          <w:szCs w:val="28"/>
        </w:rPr>
        <w:t xml:space="preserve"> </w:t>
      </w:r>
      <w:r w:rsidRPr="00D35331">
        <w:rPr>
          <w:sz w:val="28"/>
          <w:szCs w:val="28"/>
        </w:rPr>
        <w:t>potrzebnej informacji.</w:t>
      </w:r>
    </w:p>
    <w:p w:rsidR="003D3B3E" w:rsidRPr="00D35331" w:rsidRDefault="00800FB5">
      <w:pPr>
        <w:rPr>
          <w:sz w:val="28"/>
          <w:szCs w:val="28"/>
        </w:rPr>
      </w:pPr>
      <w:r w:rsidRPr="00D35331">
        <w:rPr>
          <w:sz w:val="28"/>
          <w:szCs w:val="28"/>
        </w:rPr>
        <w:tab/>
      </w:r>
      <w:r w:rsidR="004D2CF9" w:rsidRPr="00D35331">
        <w:rPr>
          <w:sz w:val="28"/>
          <w:szCs w:val="28"/>
        </w:rPr>
        <w:t xml:space="preserve">SB </w:t>
      </w:r>
      <w:r w:rsidR="00907C68">
        <w:rPr>
          <w:sz w:val="28"/>
          <w:szCs w:val="28"/>
        </w:rPr>
        <w:t xml:space="preserve">prowadziło </w:t>
      </w:r>
      <w:r w:rsidR="009B3CBD" w:rsidRPr="00D35331">
        <w:rPr>
          <w:sz w:val="28"/>
          <w:szCs w:val="28"/>
        </w:rPr>
        <w:t>cykliczny</w:t>
      </w:r>
      <w:r w:rsidR="00907C68">
        <w:rPr>
          <w:sz w:val="28"/>
          <w:szCs w:val="28"/>
        </w:rPr>
        <w:t>, zgodny z obowiązującym wtedy prawem,</w:t>
      </w:r>
      <w:r w:rsidR="009B3CBD" w:rsidRPr="00D35331">
        <w:rPr>
          <w:sz w:val="28"/>
          <w:szCs w:val="28"/>
        </w:rPr>
        <w:t xml:space="preserve"> proces brakowania </w:t>
      </w:r>
      <w:r w:rsidR="00907C68">
        <w:rPr>
          <w:sz w:val="28"/>
          <w:szCs w:val="28"/>
        </w:rPr>
        <w:t xml:space="preserve">niepotrzebnych </w:t>
      </w:r>
      <w:r w:rsidR="009B3CBD" w:rsidRPr="00D35331">
        <w:rPr>
          <w:sz w:val="28"/>
          <w:szCs w:val="28"/>
        </w:rPr>
        <w:t>akt i sporządzonych do nich środków ewidencyjnych</w:t>
      </w:r>
      <w:r w:rsidR="00907C68">
        <w:rPr>
          <w:sz w:val="28"/>
          <w:szCs w:val="28"/>
        </w:rPr>
        <w:t xml:space="preserve">. </w:t>
      </w:r>
      <w:r w:rsidR="00907C68" w:rsidRPr="00D35331">
        <w:rPr>
          <w:sz w:val="28"/>
          <w:szCs w:val="28"/>
        </w:rPr>
        <w:t>Przykładowo, regularnie usuwano materiały dotyczące zmarłych osób, których przecież już nie można wykorzystać w pracy operacyjnej, pozostawiano jedynie nieliczne akta o dużej wartości historycznej. Archiwum służ</w:t>
      </w:r>
      <w:r w:rsidR="00FA7CCA">
        <w:rPr>
          <w:sz w:val="28"/>
          <w:szCs w:val="28"/>
        </w:rPr>
        <w:t>b specjalnych to zbiór otwarty –</w:t>
      </w:r>
      <w:r w:rsidR="00907C68" w:rsidRPr="00D35331">
        <w:rPr>
          <w:sz w:val="28"/>
          <w:szCs w:val="28"/>
        </w:rPr>
        <w:t xml:space="preserve"> jedne dane się usuwa, wprowadza się nowe.</w:t>
      </w:r>
      <w:r w:rsidR="00907C68">
        <w:rPr>
          <w:sz w:val="28"/>
          <w:szCs w:val="28"/>
        </w:rPr>
        <w:t xml:space="preserve"> </w:t>
      </w:r>
      <w:r w:rsidR="00720AB9">
        <w:rPr>
          <w:sz w:val="28"/>
          <w:szCs w:val="28"/>
        </w:rPr>
        <w:t>Dlatego w</w:t>
      </w:r>
      <w:r w:rsidR="009B3CBD" w:rsidRPr="00D35331">
        <w:rPr>
          <w:sz w:val="28"/>
          <w:szCs w:val="28"/>
        </w:rPr>
        <w:t xml:space="preserve"> dniu dzisiejszym większość kart kartotecznych pochodzi z lat siedemdziesiątych i osiemdziesiątych.</w:t>
      </w:r>
    </w:p>
    <w:p w:rsidR="003D3B3E" w:rsidRPr="00D35331" w:rsidRDefault="003D3B3E">
      <w:pPr>
        <w:rPr>
          <w:b/>
          <w:sz w:val="28"/>
          <w:szCs w:val="28"/>
        </w:rPr>
      </w:pPr>
      <w:r w:rsidRPr="00D35331">
        <w:rPr>
          <w:sz w:val="28"/>
          <w:szCs w:val="28"/>
        </w:rPr>
        <w:tab/>
      </w:r>
      <w:r w:rsidR="00907C68">
        <w:rPr>
          <w:sz w:val="28"/>
          <w:szCs w:val="28"/>
        </w:rPr>
        <w:t>N</w:t>
      </w:r>
      <w:r w:rsidR="004F56F2" w:rsidRPr="00D35331">
        <w:rPr>
          <w:sz w:val="28"/>
          <w:szCs w:val="28"/>
        </w:rPr>
        <w:t xml:space="preserve">ielegalne niszczenie </w:t>
      </w:r>
      <w:r w:rsidR="00907C68">
        <w:rPr>
          <w:sz w:val="28"/>
          <w:szCs w:val="28"/>
        </w:rPr>
        <w:t>zasobu archiwalnego SB</w:t>
      </w:r>
      <w:r w:rsidR="004F56F2" w:rsidRPr="00D35331">
        <w:rPr>
          <w:sz w:val="28"/>
          <w:szCs w:val="28"/>
        </w:rPr>
        <w:t xml:space="preserve"> miało miejsce na przełomie lat 1989/1990. Starano się masowo usunąć materiały, które pracownicy SB uznali za najbardziej ich obciążające.</w:t>
      </w:r>
      <w:r w:rsidR="005A62EB" w:rsidRPr="00D35331">
        <w:rPr>
          <w:sz w:val="28"/>
          <w:szCs w:val="28"/>
        </w:rPr>
        <w:t xml:space="preserve"> Część tych materiałów odzyskano. Z ocalonych w ten sposób kart Urząd Ochrony Państwa </w:t>
      </w:r>
      <w:r w:rsidR="00571140" w:rsidRPr="00D35331">
        <w:rPr>
          <w:sz w:val="28"/>
          <w:szCs w:val="28"/>
        </w:rPr>
        <w:t xml:space="preserve">w 1990 roku </w:t>
      </w:r>
      <w:r w:rsidR="005A62EB" w:rsidRPr="00D35331">
        <w:rPr>
          <w:sz w:val="28"/>
          <w:szCs w:val="28"/>
        </w:rPr>
        <w:t xml:space="preserve">stworzył </w:t>
      </w:r>
      <w:r w:rsidR="005A62EB" w:rsidRPr="00D35331">
        <w:rPr>
          <w:i/>
          <w:sz w:val="28"/>
          <w:szCs w:val="28"/>
        </w:rPr>
        <w:t>Kartotekę odtworzeniową</w:t>
      </w:r>
      <w:r w:rsidR="005A62EB" w:rsidRPr="00D35331">
        <w:rPr>
          <w:sz w:val="28"/>
          <w:szCs w:val="28"/>
        </w:rPr>
        <w:t>. Jest to zbiór bardzo różnorodnych kart, ułożonych alfabetycznie</w:t>
      </w:r>
      <w:r w:rsidR="00396FE3" w:rsidRPr="00D35331">
        <w:rPr>
          <w:sz w:val="28"/>
          <w:szCs w:val="28"/>
        </w:rPr>
        <w:t>, zawierający wiele cennych informacji</w:t>
      </w:r>
      <w:r w:rsidR="005A62EB" w:rsidRPr="00D35331">
        <w:rPr>
          <w:sz w:val="28"/>
          <w:szCs w:val="28"/>
        </w:rPr>
        <w:t>.</w:t>
      </w:r>
      <w:r w:rsidR="004D2CF9" w:rsidRPr="00D35331">
        <w:rPr>
          <w:sz w:val="28"/>
          <w:szCs w:val="28"/>
        </w:rPr>
        <w:br w:type="page"/>
      </w:r>
      <w:r w:rsidR="004D2CF9" w:rsidRPr="00D35331">
        <w:rPr>
          <w:b/>
          <w:sz w:val="28"/>
          <w:szCs w:val="28"/>
        </w:rPr>
        <w:lastRenderedPageBreak/>
        <w:t>II – Kartoteka ogólnoinformacyjna i kartoteki pochodne</w:t>
      </w:r>
    </w:p>
    <w:p w:rsidR="003D3B3E" w:rsidRPr="00D35331" w:rsidRDefault="004F56F2">
      <w:pPr>
        <w:rPr>
          <w:sz w:val="28"/>
          <w:szCs w:val="28"/>
        </w:rPr>
      </w:pPr>
      <w:r w:rsidRPr="00D35331">
        <w:rPr>
          <w:sz w:val="28"/>
          <w:szCs w:val="28"/>
        </w:rPr>
        <w:tab/>
        <w:t>W PRL w zakresie spraw wewnętrznych o charakterze politycznym</w:t>
      </w:r>
      <w:r w:rsidR="0001326D">
        <w:rPr>
          <w:sz w:val="28"/>
          <w:szCs w:val="28"/>
        </w:rPr>
        <w:t>,</w:t>
      </w:r>
      <w:r w:rsidRPr="00D35331">
        <w:rPr>
          <w:sz w:val="28"/>
          <w:szCs w:val="28"/>
        </w:rPr>
        <w:t xml:space="preserve"> wszystkie służby korzystały </w:t>
      </w:r>
      <w:r w:rsidR="003D3B3E" w:rsidRPr="00D35331">
        <w:rPr>
          <w:sz w:val="28"/>
          <w:szCs w:val="28"/>
        </w:rPr>
        <w:t xml:space="preserve">w poszczególnych województwach </w:t>
      </w:r>
      <w:r w:rsidRPr="00D35331">
        <w:rPr>
          <w:sz w:val="28"/>
          <w:szCs w:val="28"/>
        </w:rPr>
        <w:t>ze wspólnej ewidencji operacyjnej i wspólnego archiwum</w:t>
      </w:r>
      <w:r w:rsidR="003D3B3E" w:rsidRPr="00D35331">
        <w:rPr>
          <w:sz w:val="28"/>
          <w:szCs w:val="28"/>
        </w:rPr>
        <w:t>.</w:t>
      </w:r>
    </w:p>
    <w:p w:rsidR="004F56F2" w:rsidRPr="00D35331" w:rsidRDefault="004F56F2">
      <w:pPr>
        <w:rPr>
          <w:sz w:val="28"/>
          <w:szCs w:val="28"/>
        </w:rPr>
      </w:pPr>
      <w:r w:rsidRPr="00D35331">
        <w:rPr>
          <w:sz w:val="28"/>
          <w:szCs w:val="28"/>
        </w:rPr>
        <w:tab/>
        <w:t>Główną kartoteką służb</w:t>
      </w:r>
      <w:r w:rsidR="000738C5" w:rsidRPr="00D35331">
        <w:rPr>
          <w:sz w:val="28"/>
          <w:szCs w:val="28"/>
        </w:rPr>
        <w:t xml:space="preserve"> specjalnych była </w:t>
      </w:r>
      <w:r w:rsidR="000738C5" w:rsidRPr="00D35331">
        <w:rPr>
          <w:b/>
          <w:i/>
          <w:sz w:val="28"/>
          <w:szCs w:val="28"/>
        </w:rPr>
        <w:t>Kartoteka ogólnoinformacyjna</w:t>
      </w:r>
      <w:r w:rsidR="000738C5" w:rsidRPr="00D35331">
        <w:rPr>
          <w:sz w:val="28"/>
          <w:szCs w:val="28"/>
        </w:rPr>
        <w:t xml:space="preserve"> </w:t>
      </w:r>
      <w:r w:rsidR="00267AD8">
        <w:rPr>
          <w:sz w:val="28"/>
          <w:szCs w:val="28"/>
        </w:rPr>
        <w:t>(</w:t>
      </w:r>
      <w:r w:rsidR="000738C5" w:rsidRPr="00D35331">
        <w:rPr>
          <w:sz w:val="28"/>
          <w:szCs w:val="28"/>
        </w:rPr>
        <w:t>KOI</w:t>
      </w:r>
      <w:r w:rsidR="00267AD8">
        <w:rPr>
          <w:sz w:val="28"/>
          <w:szCs w:val="28"/>
        </w:rPr>
        <w:t>)</w:t>
      </w:r>
      <w:r w:rsidR="000738C5" w:rsidRPr="00D35331">
        <w:rPr>
          <w:sz w:val="28"/>
          <w:szCs w:val="28"/>
        </w:rPr>
        <w:t>. Pełniła ona dwie podstawowe funkcje: informacyjną oraz koordynacyjną.</w:t>
      </w:r>
    </w:p>
    <w:p w:rsidR="00267AD8" w:rsidRDefault="000738C5" w:rsidP="000E0AF5">
      <w:pPr>
        <w:rPr>
          <w:sz w:val="28"/>
          <w:szCs w:val="28"/>
        </w:rPr>
      </w:pPr>
      <w:r w:rsidRPr="00D35331">
        <w:rPr>
          <w:sz w:val="28"/>
          <w:szCs w:val="28"/>
        </w:rPr>
        <w:tab/>
      </w:r>
      <w:r w:rsidRPr="00D35331">
        <w:rPr>
          <w:b/>
          <w:sz w:val="28"/>
          <w:szCs w:val="28"/>
        </w:rPr>
        <w:t>Funkcja informacyjna</w:t>
      </w:r>
      <w:r w:rsidRPr="00D35331">
        <w:rPr>
          <w:sz w:val="28"/>
          <w:szCs w:val="28"/>
        </w:rPr>
        <w:t xml:space="preserve"> oznacza, że w KOI znajdowały się karty </w:t>
      </w:r>
      <w:r w:rsidR="00A12189" w:rsidRPr="00D35331">
        <w:rPr>
          <w:sz w:val="28"/>
          <w:szCs w:val="28"/>
        </w:rPr>
        <w:t xml:space="preserve">dotyczące </w:t>
      </w:r>
      <w:r w:rsidRPr="00D35331">
        <w:rPr>
          <w:sz w:val="28"/>
          <w:szCs w:val="28"/>
        </w:rPr>
        <w:t xml:space="preserve">wszystkich osób, które były w aktualnym zainteresowaniu służb oraz karty </w:t>
      </w:r>
      <w:r w:rsidR="00A12189" w:rsidRPr="00D35331">
        <w:rPr>
          <w:sz w:val="28"/>
          <w:szCs w:val="28"/>
        </w:rPr>
        <w:t xml:space="preserve">dotyczące </w:t>
      </w:r>
      <w:r w:rsidRPr="00D35331">
        <w:rPr>
          <w:sz w:val="28"/>
          <w:szCs w:val="28"/>
        </w:rPr>
        <w:t>wszystkich osób ze spraw już zakończonych, które przechowywane były w archiwum.</w:t>
      </w:r>
    </w:p>
    <w:p w:rsidR="005A18B2" w:rsidRDefault="000E0AF5" w:rsidP="008E44DB">
      <w:pPr>
        <w:rPr>
          <w:sz w:val="28"/>
          <w:szCs w:val="28"/>
        </w:rPr>
      </w:pPr>
      <w:r w:rsidRPr="00D35331">
        <w:rPr>
          <w:sz w:val="28"/>
          <w:szCs w:val="28"/>
        </w:rPr>
        <w:tab/>
      </w:r>
      <w:r w:rsidRPr="00D35331">
        <w:rPr>
          <w:b/>
          <w:sz w:val="28"/>
          <w:szCs w:val="28"/>
        </w:rPr>
        <w:t>Funkcja koordynacyjna</w:t>
      </w:r>
      <w:r w:rsidRPr="00D35331">
        <w:rPr>
          <w:sz w:val="28"/>
          <w:szCs w:val="28"/>
        </w:rPr>
        <w:t xml:space="preserve"> oznacza, że funkcjonariusz przed rozpoczęciem danej sprawy musiał złożyć zapytanie do ewidencji operacyjnej na wszystkie osoby, które chciał rozpracować. To pozwalało na zwiększenie wydajności pracy, zapobiegało jej powtarzaniu, czy też przeszkadzaniu</w:t>
      </w:r>
      <w:r w:rsidR="005A18B2">
        <w:rPr>
          <w:sz w:val="28"/>
          <w:szCs w:val="28"/>
        </w:rPr>
        <w:t>.</w:t>
      </w:r>
    </w:p>
    <w:p w:rsidR="005A62EB" w:rsidRPr="00D35331" w:rsidRDefault="005A62EB" w:rsidP="008E44DB">
      <w:pPr>
        <w:rPr>
          <w:sz w:val="28"/>
          <w:szCs w:val="28"/>
        </w:rPr>
      </w:pPr>
      <w:r w:rsidRPr="00D35331">
        <w:rPr>
          <w:sz w:val="28"/>
          <w:szCs w:val="28"/>
        </w:rPr>
        <w:tab/>
      </w:r>
      <w:r w:rsidR="00396FE3" w:rsidRPr="00D35331">
        <w:rPr>
          <w:sz w:val="28"/>
          <w:szCs w:val="28"/>
        </w:rPr>
        <w:t xml:space="preserve">Wszyscy tajni współpracownicy, którzy figurowali w KOI, byli umieszczani również w </w:t>
      </w:r>
      <w:r w:rsidR="00396FE3" w:rsidRPr="00D35331">
        <w:rPr>
          <w:b/>
          <w:i/>
          <w:sz w:val="28"/>
          <w:szCs w:val="28"/>
        </w:rPr>
        <w:t>Kartotece pomocniczej</w:t>
      </w:r>
      <w:r w:rsidR="00D817E7">
        <w:rPr>
          <w:sz w:val="28"/>
          <w:szCs w:val="28"/>
        </w:rPr>
        <w:t>.</w:t>
      </w:r>
      <w:r w:rsidR="007C7F5D" w:rsidRPr="00D35331">
        <w:rPr>
          <w:sz w:val="28"/>
          <w:szCs w:val="28"/>
        </w:rPr>
        <w:t xml:space="preserve"> </w:t>
      </w:r>
      <w:r w:rsidR="00D817E7">
        <w:rPr>
          <w:sz w:val="28"/>
          <w:szCs w:val="28"/>
        </w:rPr>
        <w:t>S</w:t>
      </w:r>
      <w:r w:rsidR="007C7F5D" w:rsidRPr="00D35331">
        <w:rPr>
          <w:sz w:val="28"/>
          <w:szCs w:val="28"/>
        </w:rPr>
        <w:t xml:space="preserve">kładała się </w:t>
      </w:r>
      <w:r w:rsidR="00D817E7">
        <w:rPr>
          <w:sz w:val="28"/>
          <w:szCs w:val="28"/>
        </w:rPr>
        <w:t xml:space="preserve">ona </w:t>
      </w:r>
      <w:r w:rsidR="007C7F5D" w:rsidRPr="00D35331">
        <w:rPr>
          <w:sz w:val="28"/>
          <w:szCs w:val="28"/>
        </w:rPr>
        <w:t>z kart formatu A8 i poprzez podobieństwo wielkością do kart dziecięcej gry była nazywana „piotrusiami”</w:t>
      </w:r>
      <w:r w:rsidR="00396FE3" w:rsidRPr="00D35331">
        <w:rPr>
          <w:sz w:val="28"/>
          <w:szCs w:val="28"/>
        </w:rPr>
        <w:t xml:space="preserve">. </w:t>
      </w:r>
      <w:r w:rsidR="00B35CA6" w:rsidRPr="00D35331">
        <w:rPr>
          <w:sz w:val="28"/>
          <w:szCs w:val="28"/>
        </w:rPr>
        <w:t xml:space="preserve">Dzięki temu sieć agenturalna była uporządkowana </w:t>
      </w:r>
      <w:r w:rsidR="00E03A7E" w:rsidRPr="00D35331">
        <w:rPr>
          <w:sz w:val="28"/>
          <w:szCs w:val="28"/>
        </w:rPr>
        <w:t xml:space="preserve">pod względem parametrów </w:t>
      </w:r>
      <w:r w:rsidR="00715A0E" w:rsidRPr="00D35331">
        <w:rPr>
          <w:sz w:val="28"/>
          <w:szCs w:val="28"/>
        </w:rPr>
        <w:t xml:space="preserve">istotnych </w:t>
      </w:r>
      <w:r w:rsidR="00715A0E">
        <w:rPr>
          <w:sz w:val="28"/>
          <w:szCs w:val="28"/>
        </w:rPr>
        <w:t>w</w:t>
      </w:r>
      <w:r w:rsidR="00E03A7E" w:rsidRPr="00D35331">
        <w:rPr>
          <w:sz w:val="28"/>
          <w:szCs w:val="28"/>
        </w:rPr>
        <w:t xml:space="preserve"> pracy operacyjnej, </w:t>
      </w:r>
      <w:r w:rsidR="00715A0E">
        <w:rPr>
          <w:sz w:val="28"/>
          <w:szCs w:val="28"/>
        </w:rPr>
        <w:t>między innymi według</w:t>
      </w:r>
      <w:r w:rsidR="00E03A7E" w:rsidRPr="00D35331">
        <w:rPr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3085"/>
        <w:gridCol w:w="6095"/>
      </w:tblGrid>
      <w:tr w:rsidR="004736F6" w:rsidRPr="00D35331" w:rsidTr="00267AD8">
        <w:tc>
          <w:tcPr>
            <w:tcW w:w="3085" w:type="dxa"/>
            <w:shd w:val="clear" w:color="auto" w:fill="auto"/>
          </w:tcPr>
          <w:p w:rsidR="004736F6" w:rsidRPr="00D35331" w:rsidRDefault="00512AF8" w:rsidP="00267AD8">
            <w:pPr>
              <w:rPr>
                <w:sz w:val="28"/>
                <w:szCs w:val="28"/>
              </w:rPr>
            </w:pPr>
            <w:r w:rsidRPr="00D35331">
              <w:rPr>
                <w:sz w:val="28"/>
                <w:szCs w:val="28"/>
              </w:rPr>
              <w:t>–</w:t>
            </w:r>
            <w:r w:rsidR="004736F6" w:rsidRPr="00D35331">
              <w:rPr>
                <w:sz w:val="28"/>
                <w:szCs w:val="28"/>
              </w:rPr>
              <w:t xml:space="preserve"> pseudonimu,</w:t>
            </w:r>
          </w:p>
          <w:p w:rsidR="004736F6" w:rsidRPr="00D35331" w:rsidRDefault="00512AF8" w:rsidP="00267AD8">
            <w:pPr>
              <w:rPr>
                <w:sz w:val="28"/>
                <w:szCs w:val="28"/>
              </w:rPr>
            </w:pPr>
            <w:r w:rsidRPr="00D35331">
              <w:rPr>
                <w:sz w:val="28"/>
                <w:szCs w:val="28"/>
              </w:rPr>
              <w:t>–</w:t>
            </w:r>
            <w:r w:rsidR="004736F6" w:rsidRPr="00D35331">
              <w:rPr>
                <w:sz w:val="28"/>
                <w:szCs w:val="28"/>
              </w:rPr>
              <w:t xml:space="preserve"> adresu zamieszkania,</w:t>
            </w:r>
          </w:p>
          <w:p w:rsidR="004736F6" w:rsidRPr="00D35331" w:rsidRDefault="00512AF8" w:rsidP="00267AD8">
            <w:pPr>
              <w:rPr>
                <w:sz w:val="28"/>
                <w:szCs w:val="28"/>
              </w:rPr>
            </w:pPr>
            <w:r w:rsidRPr="00D35331">
              <w:rPr>
                <w:sz w:val="28"/>
                <w:szCs w:val="28"/>
              </w:rPr>
              <w:t>–</w:t>
            </w:r>
            <w:r w:rsidR="004736F6" w:rsidRPr="00D35331">
              <w:rPr>
                <w:sz w:val="28"/>
                <w:szCs w:val="28"/>
              </w:rPr>
              <w:t xml:space="preserve"> miejsca pracy,</w:t>
            </w:r>
          </w:p>
          <w:p w:rsidR="004736F6" w:rsidRPr="00D35331" w:rsidRDefault="00512AF8" w:rsidP="00267AD8">
            <w:pPr>
              <w:rPr>
                <w:sz w:val="28"/>
                <w:szCs w:val="28"/>
              </w:rPr>
            </w:pPr>
            <w:r w:rsidRPr="00D35331">
              <w:rPr>
                <w:sz w:val="28"/>
                <w:szCs w:val="28"/>
              </w:rPr>
              <w:t>–</w:t>
            </w:r>
            <w:r w:rsidR="004736F6" w:rsidRPr="00D35331">
              <w:rPr>
                <w:sz w:val="28"/>
                <w:szCs w:val="28"/>
              </w:rPr>
              <w:t xml:space="preserve"> zawodu i hobby,</w:t>
            </w:r>
          </w:p>
        </w:tc>
        <w:tc>
          <w:tcPr>
            <w:tcW w:w="6095" w:type="dxa"/>
            <w:shd w:val="clear" w:color="auto" w:fill="auto"/>
          </w:tcPr>
          <w:p w:rsidR="004736F6" w:rsidRPr="00D35331" w:rsidRDefault="00512AF8" w:rsidP="00267AD8">
            <w:pPr>
              <w:ind w:right="-501"/>
              <w:rPr>
                <w:sz w:val="28"/>
                <w:szCs w:val="28"/>
              </w:rPr>
            </w:pPr>
            <w:r w:rsidRPr="00D35331">
              <w:rPr>
                <w:sz w:val="28"/>
                <w:szCs w:val="28"/>
              </w:rPr>
              <w:t>–</w:t>
            </w:r>
            <w:r w:rsidR="004736F6" w:rsidRPr="00D35331">
              <w:rPr>
                <w:sz w:val="28"/>
                <w:szCs w:val="28"/>
              </w:rPr>
              <w:t xml:space="preserve"> </w:t>
            </w:r>
            <w:r w:rsidR="004736F6" w:rsidRPr="00267AD8">
              <w:rPr>
                <w:sz w:val="26"/>
                <w:szCs w:val="26"/>
              </w:rPr>
              <w:t>przynależności do organizacji przed- i powojennych</w:t>
            </w:r>
            <w:r w:rsidR="004736F6" w:rsidRPr="00D35331">
              <w:rPr>
                <w:sz w:val="28"/>
                <w:szCs w:val="28"/>
              </w:rPr>
              <w:t>,</w:t>
            </w:r>
          </w:p>
          <w:p w:rsidR="004736F6" w:rsidRPr="00D35331" w:rsidRDefault="00512AF8" w:rsidP="00267AD8">
            <w:pPr>
              <w:ind w:right="-501"/>
              <w:rPr>
                <w:sz w:val="28"/>
                <w:szCs w:val="28"/>
              </w:rPr>
            </w:pPr>
            <w:r w:rsidRPr="00D35331">
              <w:rPr>
                <w:sz w:val="28"/>
                <w:szCs w:val="28"/>
              </w:rPr>
              <w:t>–</w:t>
            </w:r>
            <w:r w:rsidR="004736F6" w:rsidRPr="00D35331">
              <w:rPr>
                <w:sz w:val="28"/>
                <w:szCs w:val="28"/>
              </w:rPr>
              <w:t xml:space="preserve"> narodowości i grup etnicznych,</w:t>
            </w:r>
          </w:p>
          <w:p w:rsidR="004736F6" w:rsidRPr="00D35331" w:rsidRDefault="00512AF8" w:rsidP="00267AD8">
            <w:pPr>
              <w:ind w:right="-501"/>
              <w:rPr>
                <w:sz w:val="28"/>
                <w:szCs w:val="28"/>
              </w:rPr>
            </w:pPr>
            <w:r w:rsidRPr="00D35331">
              <w:rPr>
                <w:sz w:val="28"/>
                <w:szCs w:val="28"/>
              </w:rPr>
              <w:t>–</w:t>
            </w:r>
            <w:r w:rsidR="004736F6" w:rsidRPr="00D35331">
              <w:rPr>
                <w:sz w:val="28"/>
                <w:szCs w:val="28"/>
              </w:rPr>
              <w:t xml:space="preserve"> znajomości języków obcych,</w:t>
            </w:r>
          </w:p>
          <w:p w:rsidR="004736F6" w:rsidRPr="00D35331" w:rsidRDefault="00512AF8" w:rsidP="00267AD8">
            <w:pPr>
              <w:ind w:right="-501"/>
              <w:rPr>
                <w:sz w:val="28"/>
                <w:szCs w:val="28"/>
              </w:rPr>
            </w:pPr>
            <w:r w:rsidRPr="00D35331">
              <w:rPr>
                <w:sz w:val="28"/>
                <w:szCs w:val="28"/>
              </w:rPr>
              <w:t>–</w:t>
            </w:r>
            <w:r w:rsidR="004736F6" w:rsidRPr="00D35331">
              <w:rPr>
                <w:sz w:val="28"/>
                <w:szCs w:val="28"/>
              </w:rPr>
              <w:t xml:space="preserve"> wyjazdów zagranicznych.</w:t>
            </w:r>
          </w:p>
        </w:tc>
      </w:tr>
    </w:tbl>
    <w:p w:rsidR="00E73AAB" w:rsidRPr="0001326D" w:rsidRDefault="00C975E6" w:rsidP="00512AF8">
      <w:pPr>
        <w:rPr>
          <w:sz w:val="28"/>
          <w:szCs w:val="28"/>
        </w:rPr>
      </w:pPr>
      <w:r w:rsidRPr="00D35331">
        <w:rPr>
          <w:sz w:val="28"/>
          <w:szCs w:val="28"/>
        </w:rPr>
        <w:tab/>
      </w:r>
      <w:r w:rsidR="0001326D">
        <w:rPr>
          <w:sz w:val="28"/>
          <w:szCs w:val="28"/>
        </w:rPr>
        <w:t>E</w:t>
      </w:r>
      <w:r w:rsidR="00E03A7E" w:rsidRPr="00D35331">
        <w:rPr>
          <w:sz w:val="28"/>
          <w:szCs w:val="28"/>
        </w:rPr>
        <w:t xml:space="preserve">widencja operacyjna pozwalała na dobranie jak najbardziej efektywnego tajnego współpracownika dla danego działania operacyjnego. Bez </w:t>
      </w:r>
      <w:r w:rsidR="0001326D">
        <w:rPr>
          <w:sz w:val="28"/>
          <w:szCs w:val="28"/>
        </w:rPr>
        <w:t xml:space="preserve">komputerów, posługując się jedynie papierowymi kartami, </w:t>
      </w:r>
      <w:r w:rsidR="00E03A7E" w:rsidRPr="00D35331">
        <w:rPr>
          <w:sz w:val="28"/>
          <w:szCs w:val="28"/>
        </w:rPr>
        <w:t xml:space="preserve">można było poddać </w:t>
      </w:r>
      <w:r w:rsidR="0001326D">
        <w:rPr>
          <w:sz w:val="28"/>
          <w:szCs w:val="28"/>
        </w:rPr>
        <w:t>opozycję</w:t>
      </w:r>
      <w:r w:rsidR="00E03A7E" w:rsidRPr="00D35331">
        <w:rPr>
          <w:sz w:val="28"/>
          <w:szCs w:val="28"/>
        </w:rPr>
        <w:t xml:space="preserve"> wszechstronnej inwigilacji. Jeśli nie było odpowiedniego tajnego współpracownika, funkcjonariusz musiał zwerbować nową osobę.</w:t>
      </w:r>
      <w:r w:rsidR="00463A8D" w:rsidRPr="00D35331">
        <w:rPr>
          <w:sz w:val="28"/>
          <w:szCs w:val="28"/>
        </w:rPr>
        <w:br w:type="page"/>
      </w:r>
      <w:r w:rsidR="00E73AAB" w:rsidRPr="00D35331">
        <w:rPr>
          <w:b/>
          <w:sz w:val="28"/>
          <w:szCs w:val="28"/>
        </w:rPr>
        <w:lastRenderedPageBreak/>
        <w:t>III – Układ fonetyczny kartotek</w:t>
      </w:r>
    </w:p>
    <w:p w:rsidR="007C2119" w:rsidRPr="00D35331" w:rsidRDefault="007C2119" w:rsidP="007C2119">
      <w:pPr>
        <w:rPr>
          <w:sz w:val="28"/>
          <w:szCs w:val="28"/>
        </w:rPr>
      </w:pPr>
      <w:r w:rsidRPr="00D35331">
        <w:rPr>
          <w:sz w:val="28"/>
          <w:szCs w:val="28"/>
        </w:rPr>
        <w:tab/>
      </w:r>
      <w:r w:rsidR="00A007A3">
        <w:rPr>
          <w:sz w:val="28"/>
          <w:szCs w:val="28"/>
        </w:rPr>
        <w:t>O</w:t>
      </w:r>
      <w:r w:rsidR="00F00572">
        <w:rPr>
          <w:sz w:val="28"/>
          <w:szCs w:val="28"/>
        </w:rPr>
        <w:t xml:space="preserve"> układzie kart decydował</w:t>
      </w:r>
      <w:r w:rsidRPr="00D35331">
        <w:rPr>
          <w:sz w:val="28"/>
          <w:szCs w:val="28"/>
        </w:rPr>
        <w:t xml:space="preserve"> przyjęty </w:t>
      </w:r>
      <w:r w:rsidR="00A007A3">
        <w:rPr>
          <w:sz w:val="28"/>
          <w:szCs w:val="28"/>
        </w:rPr>
        <w:t>klucz</w:t>
      </w:r>
      <w:r w:rsidRPr="00D35331">
        <w:rPr>
          <w:sz w:val="28"/>
          <w:szCs w:val="28"/>
        </w:rPr>
        <w:t xml:space="preserve">. W </w:t>
      </w:r>
      <w:r w:rsidR="000C7DE9">
        <w:rPr>
          <w:sz w:val="28"/>
          <w:szCs w:val="28"/>
        </w:rPr>
        <w:t>KOI</w:t>
      </w:r>
      <w:r w:rsidRPr="00D35331">
        <w:rPr>
          <w:sz w:val="28"/>
          <w:szCs w:val="28"/>
        </w:rPr>
        <w:t xml:space="preserve"> stosowano następującą hierarchię: najpierw nazwisko (tylko pierwszy człon), potem imię (tylko pierwsze), następnie imię ojca i na końcu data urodzenia. Dla nazwisk </w:t>
      </w:r>
      <w:r w:rsidR="00641BEB" w:rsidRPr="00D35331">
        <w:rPr>
          <w:sz w:val="28"/>
          <w:szCs w:val="28"/>
        </w:rPr>
        <w:t>dodatkowych</w:t>
      </w:r>
      <w:r w:rsidRPr="00D35331">
        <w:rPr>
          <w:sz w:val="28"/>
          <w:szCs w:val="28"/>
        </w:rPr>
        <w:t xml:space="preserve"> oraz drugich imion wykonywano odsyłacze. </w:t>
      </w:r>
      <w:r w:rsidR="00641BEB" w:rsidRPr="00D35331">
        <w:rPr>
          <w:sz w:val="28"/>
          <w:szCs w:val="28"/>
        </w:rPr>
        <w:t xml:space="preserve">Obowiązywał </w:t>
      </w:r>
      <w:r w:rsidRPr="00D35331">
        <w:rPr>
          <w:sz w:val="28"/>
          <w:szCs w:val="28"/>
        </w:rPr>
        <w:t>układ fonetyczny.</w:t>
      </w:r>
    </w:p>
    <w:p w:rsidR="007C2119" w:rsidRPr="00D35331" w:rsidRDefault="007C2119" w:rsidP="007C2119">
      <w:pPr>
        <w:rPr>
          <w:sz w:val="28"/>
          <w:szCs w:val="28"/>
        </w:rPr>
      </w:pPr>
      <w:r w:rsidRPr="000C7DE9">
        <w:rPr>
          <w:sz w:val="28"/>
          <w:szCs w:val="28"/>
        </w:rPr>
        <w:tab/>
        <w:t>Układ fonetyczny</w:t>
      </w:r>
      <w:r w:rsidRPr="00D35331">
        <w:rPr>
          <w:sz w:val="28"/>
          <w:szCs w:val="28"/>
        </w:rPr>
        <w:t xml:space="preserve"> opiera się o wymowę słów, </w:t>
      </w:r>
      <w:r w:rsidR="00E73AAB" w:rsidRPr="00D35331">
        <w:rPr>
          <w:sz w:val="28"/>
          <w:szCs w:val="28"/>
        </w:rPr>
        <w:t xml:space="preserve">natomiast </w:t>
      </w:r>
      <w:r w:rsidRPr="00D35331">
        <w:rPr>
          <w:sz w:val="28"/>
          <w:szCs w:val="28"/>
        </w:rPr>
        <w:t>układ alfabetyczny opiera się o zapis słów. Większość języków posiada o wiele większą gamę dźwięków niż liter w alfabecie. Układ fonetyczny zbliża do siebie podobne dźwięki mimo różnic alfabetycznych w ich zapisie. Układ alfabetyczny zbliża do siebie podobne ciągi literowe pomimo ich zupełnie różnej wymowy.</w:t>
      </w:r>
    </w:p>
    <w:p w:rsidR="007C2119" w:rsidRPr="00D35331" w:rsidRDefault="007C2119" w:rsidP="007C2119">
      <w:pPr>
        <w:rPr>
          <w:sz w:val="28"/>
          <w:szCs w:val="28"/>
        </w:rPr>
      </w:pPr>
      <w:r w:rsidRPr="00D35331">
        <w:rPr>
          <w:sz w:val="28"/>
          <w:szCs w:val="28"/>
        </w:rPr>
        <w:tab/>
        <w:t>Były dwa ważne powody</w:t>
      </w:r>
      <w:r w:rsidR="000C7DE9">
        <w:rPr>
          <w:sz w:val="28"/>
          <w:szCs w:val="28"/>
        </w:rPr>
        <w:t xml:space="preserve"> wprowadzenia układu fonetycznego. </w:t>
      </w:r>
      <w:r w:rsidRPr="00D35331">
        <w:rPr>
          <w:sz w:val="28"/>
          <w:szCs w:val="28"/>
        </w:rPr>
        <w:t xml:space="preserve">Pierwszy to </w:t>
      </w:r>
      <w:r w:rsidR="009723E1">
        <w:rPr>
          <w:sz w:val="28"/>
          <w:szCs w:val="28"/>
        </w:rPr>
        <w:t xml:space="preserve">początkowo </w:t>
      </w:r>
      <w:r w:rsidRPr="00D35331">
        <w:rPr>
          <w:sz w:val="28"/>
          <w:szCs w:val="28"/>
        </w:rPr>
        <w:t xml:space="preserve">bardzo niskie wykształcenie funkcjonariuszy. </w:t>
      </w:r>
      <w:r w:rsidR="000C7DE9">
        <w:rPr>
          <w:sz w:val="28"/>
          <w:szCs w:val="28"/>
        </w:rPr>
        <w:t>Bez</w:t>
      </w:r>
      <w:r w:rsidR="000C7DE9" w:rsidRPr="00D35331">
        <w:rPr>
          <w:sz w:val="28"/>
          <w:szCs w:val="28"/>
        </w:rPr>
        <w:t xml:space="preserve"> gruntownej wiedzy o ortografii</w:t>
      </w:r>
      <w:r w:rsidR="000C7DE9">
        <w:rPr>
          <w:sz w:val="28"/>
          <w:szCs w:val="28"/>
        </w:rPr>
        <w:t xml:space="preserve"> </w:t>
      </w:r>
      <w:r w:rsidR="009723E1">
        <w:rPr>
          <w:sz w:val="28"/>
          <w:szCs w:val="28"/>
        </w:rPr>
        <w:t>b</w:t>
      </w:r>
      <w:r w:rsidR="000C7DE9">
        <w:rPr>
          <w:sz w:val="28"/>
          <w:szCs w:val="28"/>
        </w:rPr>
        <w:t xml:space="preserve">yli oni jednak </w:t>
      </w:r>
      <w:r w:rsidRPr="00D35331">
        <w:rPr>
          <w:sz w:val="28"/>
          <w:szCs w:val="28"/>
        </w:rPr>
        <w:t>w stanie poprawnie pracować.</w:t>
      </w:r>
    </w:p>
    <w:p w:rsidR="000C7DE9" w:rsidRDefault="007C2119" w:rsidP="007C2119">
      <w:pPr>
        <w:rPr>
          <w:sz w:val="28"/>
          <w:szCs w:val="28"/>
        </w:rPr>
      </w:pPr>
      <w:r w:rsidRPr="00D35331">
        <w:rPr>
          <w:sz w:val="28"/>
          <w:szCs w:val="28"/>
        </w:rPr>
        <w:tab/>
        <w:t xml:space="preserve">Drugi powód to </w:t>
      </w:r>
      <w:r w:rsidR="0016385E" w:rsidRPr="00D35331">
        <w:rPr>
          <w:sz w:val="28"/>
          <w:szCs w:val="28"/>
        </w:rPr>
        <w:t xml:space="preserve">Rosjanie umieszczeni na wysokich stanowiskach celem kontroli naszych służb. </w:t>
      </w:r>
      <w:r w:rsidR="000C7DE9">
        <w:rPr>
          <w:sz w:val="28"/>
          <w:szCs w:val="28"/>
        </w:rPr>
        <w:t>P</w:t>
      </w:r>
      <w:r w:rsidR="0016385E" w:rsidRPr="00D35331">
        <w:rPr>
          <w:sz w:val="28"/>
          <w:szCs w:val="28"/>
        </w:rPr>
        <w:t>ogardliwie mówiono o nich „</w:t>
      </w:r>
      <w:r w:rsidRPr="00D35331">
        <w:rPr>
          <w:sz w:val="28"/>
          <w:szCs w:val="28"/>
        </w:rPr>
        <w:t>sowietni</w:t>
      </w:r>
      <w:r w:rsidR="0016385E" w:rsidRPr="00D35331">
        <w:rPr>
          <w:sz w:val="28"/>
          <w:szCs w:val="28"/>
        </w:rPr>
        <w:t>k”</w:t>
      </w:r>
      <w:r w:rsidRPr="00D35331">
        <w:rPr>
          <w:sz w:val="28"/>
          <w:szCs w:val="28"/>
        </w:rPr>
        <w:t xml:space="preserve"> lub </w:t>
      </w:r>
      <w:r w:rsidR="0016385E" w:rsidRPr="00D35331">
        <w:rPr>
          <w:sz w:val="28"/>
          <w:szCs w:val="28"/>
        </w:rPr>
        <w:t xml:space="preserve">„pop”, czyli </w:t>
      </w:r>
      <w:r w:rsidRPr="00D35331">
        <w:rPr>
          <w:sz w:val="28"/>
          <w:szCs w:val="28"/>
        </w:rPr>
        <w:t>„pełniący obowiązki Polaka”</w:t>
      </w:r>
      <w:r w:rsidR="0016385E" w:rsidRPr="00D35331">
        <w:rPr>
          <w:sz w:val="28"/>
          <w:szCs w:val="28"/>
        </w:rPr>
        <w:t>. Dzięki fonetyczności układu</w:t>
      </w:r>
      <w:r w:rsidRPr="00D35331">
        <w:rPr>
          <w:sz w:val="28"/>
          <w:szCs w:val="28"/>
        </w:rPr>
        <w:t xml:space="preserve"> mogli prawie bezbłędnie przeszukiwać kartoteki</w:t>
      </w:r>
      <w:r w:rsidR="00463A8D" w:rsidRPr="00D35331">
        <w:rPr>
          <w:sz w:val="28"/>
          <w:szCs w:val="28"/>
        </w:rPr>
        <w:t xml:space="preserve"> pomimo różnic w alfabecie</w:t>
      </w:r>
      <w:r w:rsidR="000C7DE9">
        <w:rPr>
          <w:sz w:val="28"/>
          <w:szCs w:val="28"/>
        </w:rPr>
        <w:t>.</w:t>
      </w:r>
    </w:p>
    <w:p w:rsidR="00463A8D" w:rsidRPr="00D35331" w:rsidRDefault="0016385E" w:rsidP="007C2119">
      <w:pPr>
        <w:rPr>
          <w:sz w:val="28"/>
          <w:szCs w:val="28"/>
        </w:rPr>
      </w:pPr>
      <w:r w:rsidRPr="00D35331">
        <w:rPr>
          <w:sz w:val="28"/>
          <w:szCs w:val="28"/>
        </w:rPr>
        <w:tab/>
      </w:r>
      <w:r w:rsidR="009723E1">
        <w:rPr>
          <w:sz w:val="28"/>
          <w:szCs w:val="28"/>
        </w:rPr>
        <w:t>Z biegiem lat</w:t>
      </w:r>
      <w:r w:rsidRPr="00D35331">
        <w:rPr>
          <w:sz w:val="28"/>
          <w:szCs w:val="28"/>
        </w:rPr>
        <w:t xml:space="preserve"> wzrastało wykształcenie funkcjonariuszy, a zmniejszała się liczba Rosjan kontrolujących ich pracę. Zaczęto w</w:t>
      </w:r>
      <w:r w:rsidR="007C2119" w:rsidRPr="00D35331">
        <w:rPr>
          <w:sz w:val="28"/>
          <w:szCs w:val="28"/>
        </w:rPr>
        <w:t>prowadz</w:t>
      </w:r>
      <w:r w:rsidRPr="00D35331">
        <w:rPr>
          <w:sz w:val="28"/>
          <w:szCs w:val="28"/>
        </w:rPr>
        <w:t xml:space="preserve">ać zmiany, </w:t>
      </w:r>
      <w:r w:rsidR="007C2119" w:rsidRPr="00D35331">
        <w:rPr>
          <w:sz w:val="28"/>
          <w:szCs w:val="28"/>
        </w:rPr>
        <w:t>kartoteki fonetyczne przekształcono na fonetyczno-alfabetyczne</w:t>
      </w:r>
      <w:r w:rsidR="00463A8D" w:rsidRPr="00D35331">
        <w:rPr>
          <w:sz w:val="28"/>
          <w:szCs w:val="28"/>
        </w:rPr>
        <w:t xml:space="preserve"> oraz alfabetyczne.</w:t>
      </w:r>
    </w:p>
    <w:p w:rsidR="00E73AAB" w:rsidRPr="00D35331" w:rsidRDefault="00E73AAB" w:rsidP="00E73AAB">
      <w:pPr>
        <w:rPr>
          <w:sz w:val="28"/>
          <w:szCs w:val="28"/>
        </w:rPr>
      </w:pPr>
      <w:r w:rsidRPr="00D35331">
        <w:rPr>
          <w:sz w:val="28"/>
          <w:szCs w:val="28"/>
        </w:rPr>
        <w:tab/>
      </w:r>
      <w:r w:rsidR="00705DF5" w:rsidRPr="00D35331">
        <w:rPr>
          <w:sz w:val="28"/>
          <w:szCs w:val="28"/>
        </w:rPr>
        <w:t xml:space="preserve">Ewidencja operacyjna pełniła również funkcję archiwum zakładowego. Tu znajdowały się </w:t>
      </w:r>
      <w:r w:rsidRPr="00D35331">
        <w:rPr>
          <w:sz w:val="28"/>
          <w:szCs w:val="28"/>
        </w:rPr>
        <w:t xml:space="preserve">również </w:t>
      </w:r>
      <w:r w:rsidR="00705DF5" w:rsidRPr="00D35331">
        <w:rPr>
          <w:sz w:val="28"/>
          <w:szCs w:val="28"/>
        </w:rPr>
        <w:t xml:space="preserve">sprawy związane z własnymi kadrami służb: </w:t>
      </w:r>
      <w:r w:rsidRPr="00D35331">
        <w:rPr>
          <w:sz w:val="28"/>
          <w:szCs w:val="28"/>
        </w:rPr>
        <w:t>akta osobowe funkcjonariuszy oraz karty sporządzone do tych akt. W tym pomieszczeniu znajdują się kartoteki osobowe funkcjonariuszy UB i SB oraz MO i ORMO, a także Służby Więziennej z początkowego okresu działalności.</w:t>
      </w:r>
    </w:p>
    <w:p w:rsidR="00E73AAB" w:rsidRPr="00ED11E9" w:rsidRDefault="00E73AAB" w:rsidP="00A77415">
      <w:pPr>
        <w:rPr>
          <w:sz w:val="28"/>
          <w:szCs w:val="28"/>
        </w:rPr>
      </w:pPr>
      <w:r w:rsidRPr="00D35331">
        <w:rPr>
          <w:sz w:val="28"/>
          <w:szCs w:val="28"/>
        </w:rPr>
        <w:tab/>
        <w:t>Prawie 100 metrów bieżących stanowią inne środki ewidencyjne</w:t>
      </w:r>
      <w:r w:rsidR="00ED11E9">
        <w:rPr>
          <w:sz w:val="28"/>
          <w:szCs w:val="28"/>
        </w:rPr>
        <w:t>:</w:t>
      </w:r>
      <w:r w:rsidR="00641BEB" w:rsidRPr="00D35331">
        <w:rPr>
          <w:sz w:val="28"/>
          <w:szCs w:val="28"/>
        </w:rPr>
        <w:t xml:space="preserve"> </w:t>
      </w:r>
      <w:r w:rsidR="00ED11E9">
        <w:rPr>
          <w:sz w:val="28"/>
          <w:szCs w:val="28"/>
        </w:rPr>
        <w:t>inwentarze</w:t>
      </w:r>
      <w:r w:rsidR="0085299C" w:rsidRPr="00D35331">
        <w:rPr>
          <w:sz w:val="28"/>
          <w:szCs w:val="28"/>
        </w:rPr>
        <w:t xml:space="preserve"> </w:t>
      </w:r>
      <w:r w:rsidR="00ED11E9">
        <w:rPr>
          <w:sz w:val="28"/>
          <w:szCs w:val="28"/>
        </w:rPr>
        <w:t>akt</w:t>
      </w:r>
      <w:r w:rsidR="0085299C" w:rsidRPr="00D35331">
        <w:rPr>
          <w:sz w:val="28"/>
          <w:szCs w:val="28"/>
        </w:rPr>
        <w:t xml:space="preserve">, </w:t>
      </w:r>
      <w:r w:rsidR="00ED11E9">
        <w:rPr>
          <w:sz w:val="28"/>
          <w:szCs w:val="28"/>
        </w:rPr>
        <w:t xml:space="preserve">księgi więźniów, </w:t>
      </w:r>
      <w:r w:rsidRPr="00D35331">
        <w:rPr>
          <w:sz w:val="28"/>
          <w:szCs w:val="28"/>
        </w:rPr>
        <w:t>karty poborowych</w:t>
      </w:r>
      <w:r w:rsidR="00FF7869" w:rsidRPr="00D35331">
        <w:rPr>
          <w:sz w:val="28"/>
          <w:szCs w:val="28"/>
        </w:rPr>
        <w:t xml:space="preserve"> </w:t>
      </w:r>
      <w:r w:rsidRPr="00D35331">
        <w:rPr>
          <w:sz w:val="28"/>
          <w:szCs w:val="28"/>
        </w:rPr>
        <w:t xml:space="preserve">z </w:t>
      </w:r>
      <w:r w:rsidR="00FF7869" w:rsidRPr="00D35331">
        <w:rPr>
          <w:sz w:val="28"/>
          <w:szCs w:val="28"/>
        </w:rPr>
        <w:t>WKU</w:t>
      </w:r>
      <w:r w:rsidRPr="00D35331">
        <w:rPr>
          <w:sz w:val="28"/>
          <w:szCs w:val="28"/>
        </w:rPr>
        <w:t>, kartoteki Okręgow</w:t>
      </w:r>
      <w:r w:rsidR="00ED11E9">
        <w:rPr>
          <w:sz w:val="28"/>
          <w:szCs w:val="28"/>
        </w:rPr>
        <w:t>ej</w:t>
      </w:r>
      <w:r w:rsidRPr="00D35331">
        <w:rPr>
          <w:sz w:val="28"/>
          <w:szCs w:val="28"/>
        </w:rPr>
        <w:t xml:space="preserve"> Komisj</w:t>
      </w:r>
      <w:r w:rsidR="00ED11E9">
        <w:rPr>
          <w:sz w:val="28"/>
          <w:szCs w:val="28"/>
        </w:rPr>
        <w:t>i</w:t>
      </w:r>
      <w:r w:rsidRPr="00D35331">
        <w:rPr>
          <w:sz w:val="28"/>
          <w:szCs w:val="28"/>
        </w:rPr>
        <w:t xml:space="preserve"> Badania Zbrodni Hitlerowskich</w:t>
      </w:r>
      <w:r w:rsidR="00FF7869" w:rsidRPr="00D35331">
        <w:rPr>
          <w:sz w:val="28"/>
          <w:szCs w:val="28"/>
        </w:rPr>
        <w:t xml:space="preserve"> </w:t>
      </w:r>
      <w:r w:rsidRPr="00D35331">
        <w:rPr>
          <w:sz w:val="28"/>
          <w:szCs w:val="28"/>
        </w:rPr>
        <w:t>w Polsce i jej następców</w:t>
      </w:r>
      <w:r w:rsidR="00ED11E9">
        <w:rPr>
          <w:sz w:val="28"/>
          <w:szCs w:val="28"/>
        </w:rPr>
        <w:t>.</w:t>
      </w:r>
      <w:r w:rsidR="00463A8D" w:rsidRPr="00D35331">
        <w:rPr>
          <w:sz w:val="28"/>
          <w:szCs w:val="28"/>
        </w:rPr>
        <w:br w:type="page"/>
      </w:r>
      <w:r w:rsidRPr="00D35331">
        <w:rPr>
          <w:b/>
          <w:sz w:val="28"/>
          <w:szCs w:val="28"/>
        </w:rPr>
        <w:lastRenderedPageBreak/>
        <w:t>IV – Stó</w:t>
      </w:r>
      <w:r w:rsidR="00463A8D" w:rsidRPr="00D35331">
        <w:rPr>
          <w:b/>
          <w:sz w:val="28"/>
          <w:szCs w:val="28"/>
        </w:rPr>
        <w:t>ł kartoteczny</w:t>
      </w:r>
    </w:p>
    <w:p w:rsidR="00A77415" w:rsidRPr="00D35331" w:rsidRDefault="00DA76F7" w:rsidP="00A77415">
      <w:pPr>
        <w:rPr>
          <w:sz w:val="28"/>
          <w:szCs w:val="28"/>
        </w:rPr>
      </w:pPr>
      <w:r w:rsidRPr="00D35331">
        <w:rPr>
          <w:sz w:val="28"/>
          <w:szCs w:val="28"/>
        </w:rPr>
        <w:tab/>
      </w:r>
      <w:r w:rsidR="00A77415" w:rsidRPr="00D35331">
        <w:rPr>
          <w:sz w:val="28"/>
          <w:szCs w:val="28"/>
        </w:rPr>
        <w:t xml:space="preserve">Kartoteki </w:t>
      </w:r>
      <w:r w:rsidR="00376177" w:rsidRPr="00D35331">
        <w:rPr>
          <w:sz w:val="28"/>
          <w:szCs w:val="28"/>
        </w:rPr>
        <w:t xml:space="preserve">operacyjne </w:t>
      </w:r>
      <w:r w:rsidR="00A77415" w:rsidRPr="00D35331">
        <w:rPr>
          <w:sz w:val="28"/>
          <w:szCs w:val="28"/>
        </w:rPr>
        <w:t>były przechowywane w stołach kartotecznych</w:t>
      </w:r>
      <w:r w:rsidR="00641BEB" w:rsidRPr="00D35331">
        <w:rPr>
          <w:sz w:val="28"/>
          <w:szCs w:val="28"/>
        </w:rPr>
        <w:t>. Z</w:t>
      </w:r>
      <w:r w:rsidR="00A77415" w:rsidRPr="00D35331">
        <w:rPr>
          <w:sz w:val="28"/>
          <w:szCs w:val="28"/>
        </w:rPr>
        <w:t xml:space="preserve">achowany egzemplarz </w:t>
      </w:r>
      <w:r w:rsidR="00641BEB" w:rsidRPr="00D35331">
        <w:rPr>
          <w:sz w:val="28"/>
          <w:szCs w:val="28"/>
        </w:rPr>
        <w:t>pochodzi z lat czterdziestych.</w:t>
      </w:r>
      <w:r w:rsidR="00A77415" w:rsidRPr="00D35331">
        <w:rPr>
          <w:sz w:val="28"/>
          <w:szCs w:val="28"/>
        </w:rPr>
        <w:t xml:space="preserve"> Stół jest wysoce ergonomiczny, pozwala na wygodne przeglądanie kartoteki w pozycji siedzącej. Zajmuje jednak dużo przestrzeni w porównaniu z szafami kartotecznymi, które mieszczą kilkakrotnie więcej kart przeliczając na zajmowaną przez mebel powierzchnię podłogi.</w:t>
      </w:r>
    </w:p>
    <w:p w:rsidR="00641BEB" w:rsidRPr="00D35331" w:rsidRDefault="00A77415" w:rsidP="00A77415">
      <w:pPr>
        <w:rPr>
          <w:sz w:val="28"/>
          <w:szCs w:val="28"/>
        </w:rPr>
      </w:pPr>
      <w:r w:rsidRPr="00D35331">
        <w:rPr>
          <w:sz w:val="28"/>
          <w:szCs w:val="28"/>
        </w:rPr>
        <w:tab/>
        <w:t xml:space="preserve">Stół mieścił od 4 do 6 metrów bieżących kart formatu A6, co oznacza informację o 2-3 tysiącach osób. Przy stołach pracowały przeważnie kobiety, gdyż uważano, że lepiej wykonują zadania tego typu. Panowało powszechne przekonanie, że kobiety </w:t>
      </w:r>
      <w:r w:rsidR="00B06731" w:rsidRPr="00D35331">
        <w:rPr>
          <w:sz w:val="28"/>
          <w:szCs w:val="28"/>
        </w:rPr>
        <w:t xml:space="preserve">w porównaniu z mężczyznami </w:t>
      </w:r>
      <w:r w:rsidRPr="00D35331">
        <w:rPr>
          <w:sz w:val="28"/>
          <w:szCs w:val="28"/>
        </w:rPr>
        <w:t>są bardziej uważne</w:t>
      </w:r>
      <w:r w:rsidR="00B06731" w:rsidRPr="00D35331">
        <w:rPr>
          <w:sz w:val="28"/>
          <w:szCs w:val="28"/>
        </w:rPr>
        <w:br/>
      </w:r>
      <w:r w:rsidRPr="00D35331">
        <w:rPr>
          <w:sz w:val="28"/>
          <w:szCs w:val="28"/>
        </w:rPr>
        <w:t xml:space="preserve">i skrupulatne, mniej męczą się podczas jednostajnej, długotrwałej pracy </w:t>
      </w:r>
      <w:r w:rsidR="00B06731" w:rsidRPr="00D35331">
        <w:rPr>
          <w:sz w:val="28"/>
          <w:szCs w:val="28"/>
        </w:rPr>
        <w:t xml:space="preserve">biurowej </w:t>
      </w:r>
      <w:r w:rsidRPr="00D35331">
        <w:rPr>
          <w:sz w:val="28"/>
          <w:szCs w:val="28"/>
        </w:rPr>
        <w:t>oraz ich pismo jest bardziej czytelne</w:t>
      </w:r>
      <w:r w:rsidR="00B06731" w:rsidRPr="00D35331">
        <w:rPr>
          <w:sz w:val="28"/>
          <w:szCs w:val="28"/>
        </w:rPr>
        <w:t xml:space="preserve"> i staranne.</w:t>
      </w:r>
    </w:p>
    <w:p w:rsidR="00641BEB" w:rsidRPr="00D35331" w:rsidRDefault="00641BEB" w:rsidP="00A77415">
      <w:pPr>
        <w:rPr>
          <w:sz w:val="28"/>
          <w:szCs w:val="28"/>
        </w:rPr>
      </w:pPr>
      <w:r w:rsidRPr="00D35331">
        <w:rPr>
          <w:sz w:val="28"/>
          <w:szCs w:val="28"/>
        </w:rPr>
        <w:tab/>
      </w:r>
      <w:r w:rsidR="00A77415" w:rsidRPr="00D35331">
        <w:rPr>
          <w:sz w:val="28"/>
          <w:szCs w:val="28"/>
        </w:rPr>
        <w:t>Przy danym stole mogła pracować jedynie funkcjonariuszka, której nazwisko panieńskie lub po mężu nie zawierało się w danym zakresie literowym. Wykluczało to możliwość ingerowania w</w:t>
      </w:r>
      <w:r w:rsidRPr="00D35331">
        <w:rPr>
          <w:sz w:val="28"/>
          <w:szCs w:val="28"/>
        </w:rPr>
        <w:t xml:space="preserve"> informacje o własnej rodzinie.</w:t>
      </w:r>
    </w:p>
    <w:p w:rsidR="004736F6" w:rsidRPr="00D35331" w:rsidRDefault="004736F6" w:rsidP="00A77415">
      <w:pPr>
        <w:rPr>
          <w:sz w:val="28"/>
          <w:szCs w:val="28"/>
        </w:rPr>
      </w:pPr>
      <w:r w:rsidRPr="00D35331">
        <w:rPr>
          <w:sz w:val="28"/>
          <w:szCs w:val="28"/>
        </w:rPr>
        <w:tab/>
        <w:t>Każdy stół był zamykany na klucz i plombowany na zakończenie dnia pracy. Zazwyczaj przydzielony był do konkretnej pracownicy oraz była wyznaczona pracownica na zastępstwo w przypadku choroby lub urlopu. Praca ewidencji operacyjnej była tak istotna, że nie można jej było przerwać w czasie godzin pracy.</w:t>
      </w:r>
    </w:p>
    <w:p w:rsidR="004736F6" w:rsidRPr="00D35331" w:rsidRDefault="00641BEB" w:rsidP="00A77415">
      <w:pPr>
        <w:rPr>
          <w:sz w:val="28"/>
          <w:szCs w:val="28"/>
        </w:rPr>
      </w:pPr>
      <w:r w:rsidRPr="00D35331">
        <w:rPr>
          <w:sz w:val="28"/>
          <w:szCs w:val="28"/>
        </w:rPr>
        <w:tab/>
      </w:r>
      <w:r w:rsidR="00A77415" w:rsidRPr="00D35331">
        <w:rPr>
          <w:sz w:val="28"/>
          <w:szCs w:val="28"/>
        </w:rPr>
        <w:t>Pracownice ewidencji operacyjnej w ciągu dnia pracy dokonywały sprawdzeń ok</w:t>
      </w:r>
      <w:r w:rsidR="00512AF8" w:rsidRPr="00D35331">
        <w:rPr>
          <w:sz w:val="28"/>
          <w:szCs w:val="28"/>
        </w:rPr>
        <w:t>oło</w:t>
      </w:r>
      <w:r w:rsidR="00A77415" w:rsidRPr="00D35331">
        <w:rPr>
          <w:sz w:val="28"/>
          <w:szCs w:val="28"/>
        </w:rPr>
        <w:t xml:space="preserve"> 300 osób udzielając pisemnie informacji o tych, którzy figurowali w kartotekach. Karty były też na bieżąco aktualizowane pod względem danych osobowych, adresowych, miejsc pracy</w:t>
      </w:r>
      <w:r w:rsidR="00512AF8" w:rsidRPr="00D35331">
        <w:rPr>
          <w:sz w:val="28"/>
          <w:szCs w:val="28"/>
        </w:rPr>
        <w:t xml:space="preserve"> i</w:t>
      </w:r>
      <w:r w:rsidR="00A77415" w:rsidRPr="00D35331">
        <w:rPr>
          <w:sz w:val="28"/>
          <w:szCs w:val="28"/>
        </w:rPr>
        <w:t xml:space="preserve"> innych informacji.</w:t>
      </w:r>
    </w:p>
    <w:p w:rsidR="00512AF8" w:rsidRPr="00D35331" w:rsidRDefault="00512AF8" w:rsidP="00A77415">
      <w:pPr>
        <w:rPr>
          <w:sz w:val="28"/>
          <w:szCs w:val="28"/>
        </w:rPr>
      </w:pPr>
      <w:r w:rsidRPr="00D35331">
        <w:rPr>
          <w:sz w:val="28"/>
          <w:szCs w:val="28"/>
        </w:rPr>
        <w:tab/>
        <w:t xml:space="preserve">Patrząc </w:t>
      </w:r>
      <w:r w:rsidR="004443FD" w:rsidRPr="00D35331">
        <w:rPr>
          <w:sz w:val="28"/>
          <w:szCs w:val="28"/>
        </w:rPr>
        <w:t xml:space="preserve">obecnie </w:t>
      </w:r>
      <w:r w:rsidRPr="00D35331">
        <w:rPr>
          <w:sz w:val="28"/>
          <w:szCs w:val="28"/>
        </w:rPr>
        <w:t xml:space="preserve">na ten stary, drewniany stół </w:t>
      </w:r>
      <w:r w:rsidR="00DA5AC3" w:rsidRPr="00D35331">
        <w:rPr>
          <w:sz w:val="28"/>
          <w:szCs w:val="28"/>
        </w:rPr>
        <w:t>trudno sob</w:t>
      </w:r>
      <w:r w:rsidR="00072838" w:rsidRPr="00D35331">
        <w:rPr>
          <w:sz w:val="28"/>
          <w:szCs w:val="28"/>
        </w:rPr>
        <w:t>ie wyobrazić, jak potężne narzędzie pracy służb specjalnych PRL w sobie mieścił.</w:t>
      </w:r>
    </w:p>
    <w:p w:rsidR="004443FD" w:rsidRDefault="004443FD" w:rsidP="00A77415">
      <w:pPr>
        <w:rPr>
          <w:sz w:val="28"/>
          <w:szCs w:val="28"/>
        </w:rPr>
      </w:pPr>
    </w:p>
    <w:p w:rsidR="00A33ABB" w:rsidRDefault="00A33ABB" w:rsidP="00A77415">
      <w:pPr>
        <w:rPr>
          <w:sz w:val="28"/>
          <w:szCs w:val="28"/>
        </w:rPr>
        <w:sectPr w:rsidR="00A33ABB" w:rsidSect="00177E87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33ABB" w:rsidRPr="00A33ABB" w:rsidRDefault="00012447" w:rsidP="00A33ABB">
      <w:pPr>
        <w:shd w:val="clear" w:color="auto" w:fill="F2DBDB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V – </w:t>
      </w:r>
      <w:r w:rsidR="00A33ABB" w:rsidRPr="00A33ABB">
        <w:rPr>
          <w:b/>
          <w:szCs w:val="24"/>
        </w:rPr>
        <w:t>Zarys  historii  ewidencji  operacyjnej  P R L</w:t>
      </w:r>
    </w:p>
    <w:p w:rsidR="00A33ABB" w:rsidRPr="00A33ABB" w:rsidRDefault="00A33ABB" w:rsidP="00A33ABB">
      <w:pPr>
        <w:rPr>
          <w:sz w:val="12"/>
          <w:szCs w:val="12"/>
        </w:rPr>
      </w:pPr>
    </w:p>
    <w:p w:rsidR="00A33ABB" w:rsidRPr="00A33ABB" w:rsidRDefault="00A33ABB" w:rsidP="00A33ABB">
      <w:pPr>
        <w:shd w:val="clear" w:color="auto" w:fill="F2F2F2"/>
        <w:rPr>
          <w:szCs w:val="24"/>
        </w:rPr>
      </w:pPr>
      <w:r w:rsidRPr="00A33ABB">
        <w:rPr>
          <w:szCs w:val="24"/>
        </w:rPr>
        <w:tab/>
        <w:t>Ewidencja operacyjna obsługiwała głównie Służbę Bezpieczeństwa, w części też Milicję Obywatelską i Wojska Ochrony Pogranicza oraz inne jednostki.</w:t>
      </w:r>
    </w:p>
    <w:p w:rsidR="00A33ABB" w:rsidRPr="00A33ABB" w:rsidRDefault="00A33ABB" w:rsidP="00A33ABB">
      <w:pPr>
        <w:rPr>
          <w:sz w:val="12"/>
          <w:szCs w:val="12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070"/>
        <w:gridCol w:w="9150"/>
      </w:tblGrid>
      <w:tr w:rsidR="00A33ABB" w:rsidRPr="00A33ABB" w:rsidTr="00A33ABB">
        <w:trPr>
          <w:cantSplit/>
        </w:trPr>
        <w:tc>
          <w:tcPr>
            <w:tcW w:w="5070" w:type="dxa"/>
            <w:shd w:val="clear" w:color="auto" w:fill="FDE9D9"/>
            <w:vAlign w:val="center"/>
          </w:tcPr>
          <w:p w:rsidR="00A33ABB" w:rsidRPr="00A33ABB" w:rsidRDefault="00A33ABB" w:rsidP="00B55375">
            <w:pPr>
              <w:ind w:left="2127" w:hanging="2127"/>
              <w:jc w:val="left"/>
              <w:rPr>
                <w:color w:val="0F243E"/>
                <w:szCs w:val="24"/>
              </w:rPr>
            </w:pPr>
            <w:r w:rsidRPr="00A33ABB">
              <w:rPr>
                <w:color w:val="0F243E"/>
                <w:szCs w:val="24"/>
              </w:rPr>
              <w:t>Nazwa struktury dla województwa wrocławskiego</w:t>
            </w:r>
          </w:p>
        </w:tc>
        <w:tc>
          <w:tcPr>
            <w:tcW w:w="9150" w:type="dxa"/>
            <w:shd w:val="clear" w:color="auto" w:fill="EAF1DD"/>
            <w:vAlign w:val="center"/>
          </w:tcPr>
          <w:p w:rsidR="00A33ABB" w:rsidRPr="00A33ABB" w:rsidRDefault="00A33ABB" w:rsidP="00B55375">
            <w:pPr>
              <w:rPr>
                <w:color w:val="0F243E"/>
                <w:szCs w:val="24"/>
              </w:rPr>
            </w:pPr>
            <w:r w:rsidRPr="00A33ABB">
              <w:rPr>
                <w:color w:val="0F243E"/>
                <w:szCs w:val="24"/>
              </w:rPr>
              <w:tab/>
              <w:t>Przyczyny reorganizacji</w:t>
            </w:r>
          </w:p>
        </w:tc>
      </w:tr>
      <w:tr w:rsidR="00A33ABB" w:rsidRPr="00A33ABB" w:rsidTr="00A33ABB">
        <w:trPr>
          <w:cantSplit/>
        </w:trPr>
        <w:tc>
          <w:tcPr>
            <w:tcW w:w="5070" w:type="dxa"/>
            <w:shd w:val="clear" w:color="auto" w:fill="FDE9D9"/>
            <w:vAlign w:val="center"/>
          </w:tcPr>
          <w:p w:rsidR="00A33ABB" w:rsidRPr="00A33ABB" w:rsidRDefault="00A33ABB" w:rsidP="00B55375">
            <w:pPr>
              <w:ind w:left="2127" w:hanging="2127"/>
              <w:jc w:val="left"/>
              <w:rPr>
                <w:b/>
                <w:szCs w:val="24"/>
              </w:rPr>
            </w:pPr>
            <w:r w:rsidRPr="00A33ABB">
              <w:rPr>
                <w:b/>
                <w:szCs w:val="24"/>
              </w:rPr>
              <w:t>1945–1955  –  Wydział II  WUBP we Wrocławiu</w:t>
            </w:r>
          </w:p>
        </w:tc>
        <w:tc>
          <w:tcPr>
            <w:tcW w:w="9150" w:type="dxa"/>
            <w:shd w:val="clear" w:color="auto" w:fill="EAF1DD"/>
            <w:vAlign w:val="center"/>
          </w:tcPr>
          <w:p w:rsidR="00A33ABB" w:rsidRPr="00A33ABB" w:rsidRDefault="00A33ABB" w:rsidP="00B55375">
            <w:pPr>
              <w:rPr>
                <w:szCs w:val="24"/>
              </w:rPr>
            </w:pPr>
            <w:r w:rsidRPr="00A33ABB">
              <w:rPr>
                <w:szCs w:val="24"/>
              </w:rPr>
              <w:tab/>
              <w:t>Powołanie w 1945 r. Ministerstwa Bezpieczeństwa Publicznego (MBP).</w:t>
            </w:r>
          </w:p>
        </w:tc>
      </w:tr>
      <w:tr w:rsidR="00A33ABB" w:rsidRPr="00A33ABB" w:rsidTr="00A33ABB">
        <w:trPr>
          <w:cantSplit/>
        </w:trPr>
        <w:tc>
          <w:tcPr>
            <w:tcW w:w="5070" w:type="dxa"/>
            <w:shd w:val="clear" w:color="auto" w:fill="FDE9D9"/>
            <w:vAlign w:val="center"/>
          </w:tcPr>
          <w:p w:rsidR="00A33ABB" w:rsidRPr="00A33ABB" w:rsidRDefault="00A33ABB" w:rsidP="00B55375">
            <w:pPr>
              <w:ind w:left="2127" w:hanging="2127"/>
              <w:jc w:val="left"/>
              <w:rPr>
                <w:szCs w:val="24"/>
              </w:rPr>
            </w:pPr>
            <w:r w:rsidRPr="00A33ABB">
              <w:rPr>
                <w:b/>
                <w:szCs w:val="24"/>
              </w:rPr>
              <w:t>1955–1956  –  Wydział X  WUds.BP we Wrocławiu</w:t>
            </w:r>
          </w:p>
        </w:tc>
        <w:tc>
          <w:tcPr>
            <w:tcW w:w="9150" w:type="dxa"/>
            <w:shd w:val="clear" w:color="auto" w:fill="EAF1DD"/>
            <w:vAlign w:val="center"/>
          </w:tcPr>
          <w:p w:rsidR="00A33ABB" w:rsidRPr="00A33ABB" w:rsidRDefault="00A33ABB" w:rsidP="00B55375">
            <w:pPr>
              <w:rPr>
                <w:szCs w:val="24"/>
              </w:rPr>
            </w:pPr>
            <w:r w:rsidRPr="00A33ABB">
              <w:rPr>
                <w:szCs w:val="24"/>
              </w:rPr>
              <w:tab/>
              <w:t>Ucieczka 5 grudnia 1953 r. do Berlina Zachodniego Józefa Światły (wicedyrektora Departamentu X MBP), opublikowanie jego wypowiedzi w latach 1954-1955.</w:t>
            </w:r>
          </w:p>
          <w:p w:rsidR="00A33ABB" w:rsidRPr="00A33ABB" w:rsidRDefault="00A33ABB" w:rsidP="00B55375">
            <w:pPr>
              <w:rPr>
                <w:szCs w:val="24"/>
              </w:rPr>
            </w:pPr>
            <w:r w:rsidRPr="00A33ABB">
              <w:rPr>
                <w:szCs w:val="24"/>
              </w:rPr>
              <w:tab/>
              <w:t>Likwidacja MBP w grudniu 1954 r., powołanie Ministerstwa Spraw Wewnętrznych (MSW) i Komitetu do spraw Bezpieczeństwa Publicznego przy Radzie Ministrów (Kds.BP).</w:t>
            </w:r>
          </w:p>
        </w:tc>
      </w:tr>
      <w:tr w:rsidR="00A33ABB" w:rsidRPr="00A33ABB" w:rsidTr="00A33ABB">
        <w:trPr>
          <w:cantSplit/>
        </w:trPr>
        <w:tc>
          <w:tcPr>
            <w:tcW w:w="5070" w:type="dxa"/>
            <w:shd w:val="clear" w:color="auto" w:fill="FDE9D9"/>
            <w:vAlign w:val="center"/>
          </w:tcPr>
          <w:p w:rsidR="00A33ABB" w:rsidRPr="00A33ABB" w:rsidRDefault="00A33ABB" w:rsidP="00B55375">
            <w:pPr>
              <w:ind w:left="2127" w:hanging="2127"/>
              <w:jc w:val="left"/>
              <w:rPr>
                <w:szCs w:val="24"/>
              </w:rPr>
            </w:pPr>
            <w:r w:rsidRPr="00A33ABB">
              <w:rPr>
                <w:b/>
                <w:szCs w:val="24"/>
              </w:rPr>
              <w:t>1956–1960  –  Wydział Ewidencji Operacyjnej  KWMO we Wrocławiu</w:t>
            </w:r>
          </w:p>
        </w:tc>
        <w:tc>
          <w:tcPr>
            <w:tcW w:w="9150" w:type="dxa"/>
            <w:shd w:val="clear" w:color="auto" w:fill="EAF1DD"/>
            <w:vAlign w:val="center"/>
          </w:tcPr>
          <w:p w:rsidR="00A33ABB" w:rsidRPr="00A33ABB" w:rsidRDefault="00A33ABB" w:rsidP="00B55375">
            <w:pPr>
              <w:rPr>
                <w:szCs w:val="24"/>
              </w:rPr>
            </w:pPr>
            <w:r w:rsidRPr="00A33ABB">
              <w:rPr>
                <w:szCs w:val="24"/>
              </w:rPr>
              <w:tab/>
              <w:t>W 1956 r. likwidacja Kds.BP i powołanie Służby Bezpieczeństwa (SB) podległej utworzonemu wcześniej MSW.</w:t>
            </w:r>
          </w:p>
        </w:tc>
      </w:tr>
      <w:tr w:rsidR="00A33ABB" w:rsidRPr="00A33ABB" w:rsidTr="00A33ABB">
        <w:trPr>
          <w:cantSplit/>
        </w:trPr>
        <w:tc>
          <w:tcPr>
            <w:tcW w:w="5070" w:type="dxa"/>
            <w:shd w:val="clear" w:color="auto" w:fill="FDE9D9"/>
            <w:vAlign w:val="center"/>
          </w:tcPr>
          <w:p w:rsidR="00A33ABB" w:rsidRPr="00A33ABB" w:rsidRDefault="00A33ABB" w:rsidP="00B55375">
            <w:pPr>
              <w:ind w:left="2127" w:hanging="2127"/>
              <w:jc w:val="left"/>
              <w:rPr>
                <w:szCs w:val="24"/>
              </w:rPr>
            </w:pPr>
            <w:r w:rsidRPr="00A33ABB">
              <w:rPr>
                <w:b/>
                <w:szCs w:val="24"/>
              </w:rPr>
              <w:t>1960–1983  –  Wydział „C”  KWMO we Wrocławiu</w:t>
            </w:r>
          </w:p>
        </w:tc>
        <w:tc>
          <w:tcPr>
            <w:tcW w:w="9150" w:type="dxa"/>
            <w:shd w:val="clear" w:color="auto" w:fill="EAF1DD"/>
            <w:vAlign w:val="center"/>
          </w:tcPr>
          <w:p w:rsidR="00A33ABB" w:rsidRPr="00A33ABB" w:rsidRDefault="00A33ABB" w:rsidP="00B55375">
            <w:pPr>
              <w:rPr>
                <w:szCs w:val="24"/>
              </w:rPr>
            </w:pPr>
            <w:r w:rsidRPr="00A33ABB">
              <w:rPr>
                <w:szCs w:val="24"/>
              </w:rPr>
              <w:tab/>
              <w:t>W 1960 r. nastąpiło utajnienie nazw wydziałów zajmujących się technikami operacyjnymi: pion „A” (szyfry), pion „B” (obserwacja), pion „C” (ewidencja operacyjna), pion „T” (technika operacyjna), pion „W” (perlustracja korespondencji).</w:t>
            </w:r>
          </w:p>
          <w:p w:rsidR="00A33ABB" w:rsidRPr="00A33ABB" w:rsidRDefault="00A33ABB" w:rsidP="00B55375">
            <w:pPr>
              <w:rPr>
                <w:szCs w:val="24"/>
              </w:rPr>
            </w:pPr>
            <w:r w:rsidRPr="00A33ABB">
              <w:rPr>
                <w:szCs w:val="24"/>
              </w:rPr>
              <w:tab/>
              <w:t>W 1962 r. przeprowadzono gruntowną reformę ewidencji operacyjnej, pion „C” pracował przez następne lata według tych zasad. Przede wszystkim ujednolicono zasady rejestracji i ewidencjonowania prowadzonych spraw operacyjnych.</w:t>
            </w:r>
          </w:p>
        </w:tc>
      </w:tr>
      <w:tr w:rsidR="00A33ABB" w:rsidRPr="00A33ABB" w:rsidTr="00A33ABB">
        <w:trPr>
          <w:cantSplit/>
        </w:trPr>
        <w:tc>
          <w:tcPr>
            <w:tcW w:w="5070" w:type="dxa"/>
            <w:shd w:val="clear" w:color="auto" w:fill="FDE9D9"/>
            <w:vAlign w:val="center"/>
          </w:tcPr>
          <w:p w:rsidR="00A33ABB" w:rsidRPr="00A33ABB" w:rsidRDefault="00A33ABB" w:rsidP="00B55375">
            <w:pPr>
              <w:ind w:left="2127" w:hanging="2127"/>
              <w:jc w:val="left"/>
              <w:rPr>
                <w:szCs w:val="24"/>
              </w:rPr>
            </w:pPr>
            <w:r w:rsidRPr="00A33ABB">
              <w:rPr>
                <w:b/>
                <w:szCs w:val="24"/>
              </w:rPr>
              <w:t>1983–1990  –  Wydział „C”  WUSW we Wrocławiu</w:t>
            </w:r>
          </w:p>
        </w:tc>
        <w:tc>
          <w:tcPr>
            <w:tcW w:w="9150" w:type="dxa"/>
            <w:shd w:val="clear" w:color="auto" w:fill="EAF1DD"/>
            <w:vAlign w:val="center"/>
          </w:tcPr>
          <w:p w:rsidR="00A33ABB" w:rsidRPr="00A33ABB" w:rsidRDefault="00A33ABB" w:rsidP="00B55375">
            <w:pPr>
              <w:rPr>
                <w:szCs w:val="24"/>
              </w:rPr>
            </w:pPr>
            <w:r w:rsidRPr="00A33ABB">
              <w:rPr>
                <w:szCs w:val="24"/>
              </w:rPr>
              <w:tab/>
              <w:t>W 1983 r. zatwierdzono reorganizację MSW trwającą od 1981 r., piony zajmujące się technikami operacyjnymi określono jako Służbę Zabezpieczenia Operacyjnego.</w:t>
            </w:r>
          </w:p>
        </w:tc>
      </w:tr>
    </w:tbl>
    <w:p w:rsidR="00DF04ED" w:rsidRPr="00DF04ED" w:rsidRDefault="00A33ABB" w:rsidP="00F55220">
      <w:pPr>
        <w:shd w:val="clear" w:color="auto" w:fill="DDD9C3"/>
        <w:jc w:val="center"/>
        <w:rPr>
          <w:b/>
          <w:szCs w:val="24"/>
        </w:rPr>
      </w:pPr>
      <w:r>
        <w:rPr>
          <w:szCs w:val="24"/>
        </w:rPr>
        <w:br w:type="page"/>
      </w:r>
      <w:r w:rsidR="00012447">
        <w:rPr>
          <w:szCs w:val="24"/>
        </w:rPr>
        <w:lastRenderedPageBreak/>
        <w:t xml:space="preserve">VI – </w:t>
      </w:r>
      <w:r w:rsidR="00DF04ED" w:rsidRPr="00DF04ED">
        <w:rPr>
          <w:b/>
          <w:szCs w:val="24"/>
        </w:rPr>
        <w:t>Układ  fonetyczny  i  układ  alfabetyczny  kartotek</w:t>
      </w:r>
    </w:p>
    <w:p w:rsidR="00DF04ED" w:rsidRPr="00DF04ED" w:rsidRDefault="00DF04ED" w:rsidP="00F55220">
      <w:pPr>
        <w:shd w:val="clear" w:color="auto" w:fill="F2F2F2"/>
        <w:rPr>
          <w:szCs w:val="24"/>
        </w:rPr>
      </w:pPr>
      <w:r w:rsidRPr="00DF04ED">
        <w:rPr>
          <w:szCs w:val="24"/>
        </w:rPr>
        <w:tab/>
        <w:t>O układzie kart w głównych kartotekach decyduje nazwisko (tylko pierwszy człon), imię (tylko pierwsze), imię ojca, data urodzenia, w tej właśnie kolejności. Dane matki lub miejsce urodzenia nie wpływają na układ. Dla nazwisk wieloczłonowych lub przybranych oraz drugich imion wykonywano odsyłacze. Pierwsze tworzone kartoteki posiadały układ fonetyczny.</w:t>
      </w:r>
    </w:p>
    <w:p w:rsidR="00DF04ED" w:rsidRDefault="00DF04ED" w:rsidP="00DF04ED">
      <w:pPr>
        <w:shd w:val="clear" w:color="auto" w:fill="EAF1DD"/>
        <w:jc w:val="center"/>
        <w:rPr>
          <w:b/>
          <w:szCs w:val="24"/>
        </w:rPr>
        <w:sectPr w:rsidR="00DF04ED" w:rsidSect="00DF04E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F04ED" w:rsidRPr="00DF04ED" w:rsidRDefault="00DF04ED" w:rsidP="00DF04ED">
      <w:pPr>
        <w:shd w:val="clear" w:color="auto" w:fill="EAF1DD"/>
        <w:jc w:val="center"/>
        <w:rPr>
          <w:b/>
          <w:szCs w:val="24"/>
        </w:rPr>
      </w:pPr>
      <w:r w:rsidRPr="00DF04ED">
        <w:rPr>
          <w:b/>
          <w:szCs w:val="24"/>
        </w:rPr>
        <w:lastRenderedPageBreak/>
        <w:t>Układ  fonetyczny</w:t>
      </w:r>
    </w:p>
    <w:p w:rsidR="00DF04ED" w:rsidRPr="00DF04ED" w:rsidRDefault="00DF04ED" w:rsidP="00DF04ED">
      <w:pPr>
        <w:shd w:val="clear" w:color="auto" w:fill="EAF1DD"/>
        <w:rPr>
          <w:szCs w:val="24"/>
        </w:rPr>
      </w:pPr>
      <w:r w:rsidRPr="00DF04ED">
        <w:rPr>
          <w:szCs w:val="24"/>
        </w:rPr>
        <w:tab/>
        <w:t>Układ fonetyczny opiera się o wymowę słów, a nie ich zapis. O wymowie decyduje również kolejność liter, łączenie ich w sylaby, dwudźwięki. Układ fonetyczny zbliża do siebie podobne dźwięki mimo różnic alfabetycznych w ich zapisie.</w:t>
      </w:r>
    </w:p>
    <w:p w:rsidR="00DF04ED" w:rsidRPr="00DF04ED" w:rsidRDefault="00DF04ED" w:rsidP="00DF04ED">
      <w:pPr>
        <w:shd w:val="clear" w:color="auto" w:fill="EAF1DD"/>
        <w:rPr>
          <w:szCs w:val="24"/>
        </w:rPr>
      </w:pPr>
      <w:r w:rsidRPr="00DF04ED">
        <w:rPr>
          <w:szCs w:val="24"/>
        </w:rPr>
        <w:tab/>
      </w:r>
      <w:r w:rsidRPr="00DF04ED">
        <w:rPr>
          <w:b/>
          <w:szCs w:val="24"/>
        </w:rPr>
        <w:t>Większość języków posiada o wiele większą gamę dźwięków niż liter</w:t>
      </w:r>
      <w:r w:rsidRPr="00DF04ED">
        <w:rPr>
          <w:b/>
          <w:szCs w:val="24"/>
        </w:rPr>
        <w:br/>
        <w:t>w alfabecie.</w:t>
      </w:r>
      <w:r w:rsidRPr="00DF04ED">
        <w:rPr>
          <w:szCs w:val="24"/>
        </w:rPr>
        <w:t xml:space="preserve"> </w:t>
      </w:r>
    </w:p>
    <w:p w:rsidR="00DF04ED" w:rsidRPr="00DF04ED" w:rsidRDefault="00DF04ED" w:rsidP="00DF04ED">
      <w:pPr>
        <w:shd w:val="clear" w:color="auto" w:fill="EAF1DD"/>
        <w:rPr>
          <w:szCs w:val="24"/>
        </w:rPr>
      </w:pPr>
      <w:r w:rsidRPr="00DF04ED">
        <w:rPr>
          <w:szCs w:val="24"/>
        </w:rPr>
        <w:tab/>
        <w:t>Na kartotekach fonetycznych są w stanie poprawnie pracować osoby, które nie znają dobrze języka polskiego lub nie posiadają gruntownej wiedzy o polskiej ortografii: słabo wykształceni funkcjonariusze oraz kontrolujący ich Rosjanie.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2157"/>
        <w:gridCol w:w="2255"/>
      </w:tblGrid>
      <w:tr w:rsidR="00DF04ED" w:rsidRPr="00DF04ED" w:rsidTr="00F55220">
        <w:trPr>
          <w:cantSplit/>
          <w:trHeight w:val="680"/>
        </w:trPr>
        <w:tc>
          <w:tcPr>
            <w:tcW w:w="3563" w:type="dxa"/>
            <w:tcBorders>
              <w:top w:val="nil"/>
              <w:bottom w:val="single" w:sz="4" w:space="0" w:color="auto"/>
            </w:tcBorders>
            <w:shd w:val="clear" w:color="auto" w:fill="EAF1DD"/>
            <w:vAlign w:val="center"/>
          </w:tcPr>
          <w:p w:rsidR="00DF04ED" w:rsidRPr="00DF04ED" w:rsidRDefault="00DF04ED" w:rsidP="00F55220">
            <w:pPr>
              <w:jc w:val="center"/>
              <w:rPr>
                <w:szCs w:val="24"/>
              </w:rPr>
            </w:pPr>
            <w:r w:rsidRPr="00DF04ED">
              <w:rPr>
                <w:szCs w:val="24"/>
              </w:rPr>
              <w:lastRenderedPageBreak/>
              <w:t>Układ  fonetyczny</w:t>
            </w:r>
          </w:p>
        </w:tc>
        <w:tc>
          <w:tcPr>
            <w:tcW w:w="3563" w:type="dxa"/>
            <w:tcBorders>
              <w:top w:val="nil"/>
              <w:bottom w:val="single" w:sz="4" w:space="0" w:color="auto"/>
            </w:tcBorders>
            <w:shd w:val="clear" w:color="auto" w:fill="F2DBDB"/>
            <w:vAlign w:val="center"/>
          </w:tcPr>
          <w:p w:rsidR="00DF04ED" w:rsidRPr="00DF04ED" w:rsidRDefault="00DF04ED" w:rsidP="00F55220">
            <w:pPr>
              <w:jc w:val="center"/>
              <w:rPr>
                <w:szCs w:val="24"/>
              </w:rPr>
            </w:pPr>
            <w:r w:rsidRPr="00DF04ED">
              <w:rPr>
                <w:szCs w:val="24"/>
              </w:rPr>
              <w:t>Układ  alfabetyczny</w:t>
            </w:r>
          </w:p>
        </w:tc>
      </w:tr>
      <w:tr w:rsidR="00DF04ED" w:rsidRPr="00DF04ED" w:rsidTr="00F55220">
        <w:trPr>
          <w:cantSplit/>
          <w:trHeight w:val="68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04ED" w:rsidRPr="00DF04ED" w:rsidRDefault="00DF04ED" w:rsidP="00F55220">
            <w:pPr>
              <w:rPr>
                <w:szCs w:val="24"/>
              </w:rPr>
            </w:pPr>
            <w:r w:rsidRPr="00DF04ED">
              <w:rPr>
                <w:szCs w:val="24"/>
              </w:rPr>
              <w:t>Gur</w:t>
            </w:r>
            <w:r w:rsidRPr="00DF04ED">
              <w:rPr>
                <w:szCs w:val="24"/>
                <w:u w:val="single"/>
              </w:rPr>
              <w:t>k</w:t>
            </w:r>
            <w:r w:rsidRPr="00DF04ED">
              <w:rPr>
                <w:szCs w:val="24"/>
              </w:rPr>
              <w:t>owski Andrzej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F04ED" w:rsidRPr="00DF04ED" w:rsidRDefault="00DF04ED" w:rsidP="00F55220">
            <w:pPr>
              <w:rPr>
                <w:szCs w:val="24"/>
              </w:rPr>
            </w:pPr>
            <w:r w:rsidRPr="00DF04ED">
              <w:rPr>
                <w:szCs w:val="24"/>
              </w:rPr>
              <w:t>Górowski Stanisław</w:t>
            </w:r>
          </w:p>
        </w:tc>
      </w:tr>
      <w:tr w:rsidR="00DF04ED" w:rsidRPr="00DF04ED" w:rsidTr="00F55220">
        <w:trPr>
          <w:cantSplit/>
          <w:trHeight w:val="68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F04ED" w:rsidRPr="00DF04ED" w:rsidRDefault="00DF04ED" w:rsidP="00F55220">
            <w:pPr>
              <w:rPr>
                <w:szCs w:val="24"/>
              </w:rPr>
            </w:pPr>
            <w:r w:rsidRPr="00DF04ED">
              <w:rPr>
                <w:szCs w:val="24"/>
              </w:rPr>
              <w:t>Gur</w:t>
            </w:r>
            <w:r w:rsidRPr="00DF04ED">
              <w:rPr>
                <w:szCs w:val="24"/>
                <w:u w:val="single"/>
              </w:rPr>
              <w:t>o</w:t>
            </w:r>
            <w:r w:rsidRPr="00DF04ED">
              <w:rPr>
                <w:szCs w:val="24"/>
              </w:rPr>
              <w:t xml:space="preserve">wski </w:t>
            </w:r>
            <w:r w:rsidRPr="00DF04ED">
              <w:rPr>
                <w:szCs w:val="24"/>
                <w:u w:val="single"/>
              </w:rPr>
              <w:t>J</w:t>
            </w:r>
            <w:r w:rsidRPr="00DF04ED">
              <w:rPr>
                <w:szCs w:val="24"/>
              </w:rPr>
              <w:t>an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F04ED" w:rsidRPr="00DF04ED" w:rsidRDefault="00DF04ED" w:rsidP="00F55220">
            <w:pPr>
              <w:rPr>
                <w:szCs w:val="24"/>
              </w:rPr>
            </w:pPr>
            <w:r w:rsidRPr="00DF04ED">
              <w:rPr>
                <w:szCs w:val="24"/>
              </w:rPr>
              <w:t>Gurkowski Andrzej</w:t>
            </w:r>
          </w:p>
        </w:tc>
      </w:tr>
      <w:tr w:rsidR="00DF04ED" w:rsidRPr="00DF04ED" w:rsidTr="00F55220">
        <w:trPr>
          <w:cantSplit/>
          <w:trHeight w:val="68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F04ED" w:rsidRPr="00DF04ED" w:rsidRDefault="00DF04ED" w:rsidP="00F55220">
            <w:pPr>
              <w:rPr>
                <w:szCs w:val="24"/>
              </w:rPr>
            </w:pPr>
            <w:r w:rsidRPr="00DF04ED">
              <w:rPr>
                <w:szCs w:val="24"/>
              </w:rPr>
              <w:t>Gór</w:t>
            </w:r>
            <w:r w:rsidRPr="00DF04ED">
              <w:rPr>
                <w:szCs w:val="24"/>
                <w:u w:val="single"/>
              </w:rPr>
              <w:t>o</w:t>
            </w:r>
            <w:r w:rsidRPr="00DF04ED">
              <w:rPr>
                <w:szCs w:val="24"/>
              </w:rPr>
              <w:t xml:space="preserve">wski </w:t>
            </w:r>
            <w:r w:rsidRPr="00DF04ED">
              <w:rPr>
                <w:szCs w:val="24"/>
                <w:u w:val="single"/>
              </w:rPr>
              <w:t>S</w:t>
            </w:r>
            <w:r w:rsidRPr="00DF04ED">
              <w:rPr>
                <w:szCs w:val="24"/>
              </w:rPr>
              <w:t>tanisław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F04ED" w:rsidRPr="00DF04ED" w:rsidRDefault="00DF04ED" w:rsidP="00F55220">
            <w:pPr>
              <w:rPr>
                <w:szCs w:val="24"/>
              </w:rPr>
            </w:pPr>
            <w:r w:rsidRPr="00DF04ED">
              <w:rPr>
                <w:szCs w:val="24"/>
              </w:rPr>
              <w:t>Gurowski Jan</w:t>
            </w:r>
          </w:p>
        </w:tc>
      </w:tr>
    </w:tbl>
    <w:p w:rsidR="00DF04ED" w:rsidRPr="00DF04ED" w:rsidRDefault="00DF04ED" w:rsidP="00DF04ED">
      <w:pPr>
        <w:shd w:val="clear" w:color="auto" w:fill="F2F2F2"/>
        <w:rPr>
          <w:szCs w:val="24"/>
        </w:rPr>
      </w:pPr>
      <w:r w:rsidRPr="00DF04ED">
        <w:rPr>
          <w:szCs w:val="24"/>
        </w:rPr>
        <w:t>W układzie fonetycznym o kolejności decyduje wymowa.</w:t>
      </w:r>
    </w:p>
    <w:p w:rsidR="00DF04ED" w:rsidRPr="00DF04ED" w:rsidRDefault="00DF04ED" w:rsidP="00DF04ED">
      <w:pPr>
        <w:shd w:val="clear" w:color="auto" w:fill="F2F2F2"/>
        <w:rPr>
          <w:szCs w:val="24"/>
        </w:rPr>
      </w:pPr>
      <w:r w:rsidRPr="00DF04ED">
        <w:rPr>
          <w:szCs w:val="24"/>
        </w:rPr>
        <w:t xml:space="preserve">Litery pierwsze nazwisk są takie same „g”, </w:t>
      </w:r>
      <w:r w:rsidRPr="00DF04ED">
        <w:rPr>
          <w:szCs w:val="24"/>
          <w:u w:val="single"/>
        </w:rPr>
        <w:t>litery drugie nazwisk „ó” i „u” brzmią tak samo i nie decydują tu o układzie</w:t>
      </w:r>
      <w:r w:rsidRPr="00DF04ED">
        <w:rPr>
          <w:szCs w:val="24"/>
        </w:rPr>
        <w:t xml:space="preserve">, litery trzecie są takie same „r”, więc </w:t>
      </w:r>
      <w:r w:rsidRPr="00DF04ED">
        <w:rPr>
          <w:szCs w:val="24"/>
          <w:u w:val="double"/>
        </w:rPr>
        <w:t>o układzie zadecyduje czwarta litera - „k” jest przed „o”</w:t>
      </w:r>
      <w:r w:rsidRPr="00DF04ED">
        <w:rPr>
          <w:szCs w:val="24"/>
        </w:rPr>
        <w:t>.</w:t>
      </w:r>
    </w:p>
    <w:p w:rsidR="00DF04ED" w:rsidRPr="00DF04ED" w:rsidRDefault="00DF04ED" w:rsidP="00DF04ED">
      <w:pPr>
        <w:shd w:val="clear" w:color="auto" w:fill="F2F2F2"/>
        <w:rPr>
          <w:szCs w:val="24"/>
        </w:rPr>
      </w:pPr>
      <w:r w:rsidRPr="00DF04ED">
        <w:rPr>
          <w:szCs w:val="24"/>
        </w:rPr>
        <w:t>Następnie o układzie tych samych fonetycznie nazwisk: Gurowski i Górowski decyduje imię: Jan jest przed Stanisławem.</w:t>
      </w:r>
    </w:p>
    <w:p w:rsidR="00DF04ED" w:rsidRPr="00DF04ED" w:rsidRDefault="00DF04ED" w:rsidP="00DF04ED">
      <w:pPr>
        <w:shd w:val="clear" w:color="auto" w:fill="F2DBDB"/>
        <w:jc w:val="center"/>
        <w:rPr>
          <w:b/>
          <w:szCs w:val="24"/>
        </w:rPr>
      </w:pPr>
      <w:r w:rsidRPr="00DF04ED">
        <w:rPr>
          <w:b/>
          <w:szCs w:val="24"/>
        </w:rPr>
        <w:lastRenderedPageBreak/>
        <w:t>Układ  alfabetyczny</w:t>
      </w:r>
    </w:p>
    <w:p w:rsidR="00DF04ED" w:rsidRPr="00DF04ED" w:rsidRDefault="00DF04ED" w:rsidP="00DF04ED">
      <w:pPr>
        <w:shd w:val="clear" w:color="auto" w:fill="F2DBDB"/>
        <w:rPr>
          <w:szCs w:val="24"/>
        </w:rPr>
      </w:pPr>
      <w:r w:rsidRPr="00DF04ED">
        <w:rPr>
          <w:szCs w:val="24"/>
        </w:rPr>
        <w:tab/>
        <w:t>Układ alfabetyczny opiera się o zapis słów, a nie o wymowę dźwięków. Układ alfabetyczny zbliża do siebie podobne ciągi literowe pomimo ich zupełnie różnej wymowy.</w:t>
      </w:r>
    </w:p>
    <w:p w:rsidR="00DF04ED" w:rsidRPr="00DF04ED" w:rsidRDefault="00DF04ED" w:rsidP="00DF04ED">
      <w:pPr>
        <w:shd w:val="clear" w:color="auto" w:fill="F2DBDB"/>
        <w:rPr>
          <w:szCs w:val="24"/>
        </w:rPr>
      </w:pPr>
      <w:r w:rsidRPr="00DF04ED">
        <w:rPr>
          <w:szCs w:val="24"/>
        </w:rPr>
        <w:tab/>
        <w:t>Kartoteki ściśle alfabetyczne są trudniejsze w przeszukiwaniu, błędy ortograficzne w zapisie nazwiska uniemożliwiają odnalezienie właściwej osoby lub trzeba jej szukać w kilku odległych miejscach.</w:t>
      </w:r>
    </w:p>
    <w:p w:rsidR="00DF04ED" w:rsidRPr="00DF04ED" w:rsidRDefault="00DF04ED" w:rsidP="00DF04ED">
      <w:pPr>
        <w:shd w:val="clear" w:color="auto" w:fill="F2DBDB"/>
        <w:rPr>
          <w:szCs w:val="24"/>
        </w:rPr>
      </w:pPr>
      <w:r w:rsidRPr="00DF04ED">
        <w:rPr>
          <w:szCs w:val="24"/>
        </w:rPr>
        <w:tab/>
        <w:t>Nowożytne kartoteki operacyjne posiadają układ alfabetyczny bez polskich znaków diakrytycznych – bez rozróżniania „n” - „ń”, „s” - „ś”, „ż” - „ź” - „ż”, itp.</w:t>
      </w:r>
    </w:p>
    <w:p w:rsidR="00DF04ED" w:rsidRDefault="00DF04ED" w:rsidP="00A77415">
      <w:pPr>
        <w:rPr>
          <w:szCs w:val="24"/>
        </w:rPr>
        <w:sectPr w:rsidR="00DF04ED" w:rsidSect="00DF04ED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</w:p>
    <w:p w:rsidR="00A33C02" w:rsidRDefault="00012447" w:rsidP="00A33C02">
      <w:pPr>
        <w:shd w:val="clear" w:color="auto" w:fill="DDD9C3"/>
        <w:spacing w:line="336" w:lineRule="auto"/>
        <w:jc w:val="center"/>
        <w:rPr>
          <w:b/>
          <w:smallCaps/>
          <w:szCs w:val="24"/>
        </w:rPr>
      </w:pPr>
      <w:r>
        <w:rPr>
          <w:b/>
          <w:smallCaps/>
          <w:szCs w:val="24"/>
        </w:rPr>
        <w:lastRenderedPageBreak/>
        <w:t xml:space="preserve">VII  –  </w:t>
      </w:r>
      <w:r w:rsidR="00A33C02" w:rsidRPr="00A33C02">
        <w:rPr>
          <w:b/>
          <w:smallCaps/>
          <w:szCs w:val="24"/>
        </w:rPr>
        <w:t>G ł ó w n e    z a s a d y    u k ł a d u    k a r t o t e k i    f o n e t y c z n o – a l f a b e t y c z n e j</w:t>
      </w:r>
    </w:p>
    <w:p w:rsidR="00A33C02" w:rsidRPr="00A33C02" w:rsidRDefault="00A33C02" w:rsidP="00A33C02">
      <w:pPr>
        <w:shd w:val="clear" w:color="auto" w:fill="DDD9C3"/>
        <w:spacing w:line="336" w:lineRule="auto"/>
        <w:jc w:val="center"/>
        <w:rPr>
          <w:b/>
          <w:smallCaps/>
          <w:szCs w:val="24"/>
        </w:rPr>
      </w:pPr>
    </w:p>
    <w:p w:rsidR="00A33C02" w:rsidRDefault="00A33C02" w:rsidP="00A33C02">
      <w:pPr>
        <w:spacing w:line="336" w:lineRule="auto"/>
        <w:rPr>
          <w:szCs w:val="24"/>
        </w:rPr>
        <w:sectPr w:rsidR="00A33C02" w:rsidSect="00DF04ED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33C02" w:rsidRPr="00A33C02" w:rsidRDefault="00A33C02" w:rsidP="00A33C02">
      <w:pPr>
        <w:spacing w:line="336" w:lineRule="auto"/>
        <w:rPr>
          <w:sz w:val="14"/>
          <w:szCs w:val="14"/>
        </w:rPr>
      </w:pPr>
    </w:p>
    <w:p w:rsidR="00A33C02" w:rsidRPr="00A33C02" w:rsidRDefault="00A33C02" w:rsidP="00A33C02">
      <w:pPr>
        <w:shd w:val="clear" w:color="auto" w:fill="E5DFEC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ab/>
        <w:t xml:space="preserve">1. Podstawę układu kartoteki stanowi alfabet składający się z </w:t>
      </w:r>
      <w:r w:rsidRPr="00A33C02">
        <w:rPr>
          <w:b/>
          <w:sz w:val="14"/>
          <w:szCs w:val="14"/>
        </w:rPr>
        <w:t>22 liter</w:t>
      </w:r>
      <w:r w:rsidRPr="00A33C02">
        <w:rPr>
          <w:sz w:val="14"/>
          <w:szCs w:val="14"/>
        </w:rPr>
        <w:t xml:space="preserve"> według następującej kolejności:</w:t>
      </w:r>
    </w:p>
    <w:p w:rsidR="00A33C02" w:rsidRPr="00A33C02" w:rsidRDefault="00A33C02" w:rsidP="00A33C02">
      <w:pPr>
        <w:shd w:val="clear" w:color="auto" w:fill="E5DFEC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>A, B, C, D, E, F, G, H, I, J, K, L, M, N, O, P, R, S, T, U, W, Z.</w:t>
      </w:r>
    </w:p>
    <w:p w:rsidR="00A33C02" w:rsidRPr="00A33C02" w:rsidRDefault="00A33C02" w:rsidP="00A33C02">
      <w:pPr>
        <w:spacing w:line="336" w:lineRule="auto"/>
        <w:rPr>
          <w:sz w:val="14"/>
          <w:szCs w:val="14"/>
        </w:rPr>
      </w:pPr>
    </w:p>
    <w:p w:rsidR="00A33C02" w:rsidRPr="00A33C02" w:rsidRDefault="00A33C02" w:rsidP="00A33C02">
      <w:pPr>
        <w:shd w:val="clear" w:color="auto" w:fill="DAEEF3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ab/>
        <w:t>2. Nieuwzględnione litery alfabetu polskiego układa się:</w:t>
      </w:r>
    </w:p>
    <w:p w:rsidR="00A33C02" w:rsidRPr="00A33C02" w:rsidRDefault="00A33C02" w:rsidP="00A33C02">
      <w:pPr>
        <w:shd w:val="clear" w:color="auto" w:fill="DAEEF3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>ą – jak litery – on</w:t>
      </w:r>
    </w:p>
    <w:p w:rsidR="00A33C02" w:rsidRPr="00A33C02" w:rsidRDefault="00A33C02" w:rsidP="00A33C02">
      <w:pPr>
        <w:shd w:val="clear" w:color="auto" w:fill="DAEEF3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>ć – jak litera – c</w:t>
      </w:r>
    </w:p>
    <w:p w:rsidR="00A33C02" w:rsidRPr="00A33C02" w:rsidRDefault="00A33C02" w:rsidP="00A33C02">
      <w:pPr>
        <w:shd w:val="clear" w:color="auto" w:fill="DAEEF3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>ę – jak litery – en</w:t>
      </w:r>
    </w:p>
    <w:p w:rsidR="00A33C02" w:rsidRPr="00A33C02" w:rsidRDefault="00A33C02" w:rsidP="00A33C02">
      <w:pPr>
        <w:shd w:val="clear" w:color="auto" w:fill="DAEEF3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>ł – jak litera – l</w:t>
      </w:r>
    </w:p>
    <w:p w:rsidR="00A33C02" w:rsidRPr="00A33C02" w:rsidRDefault="00A33C02" w:rsidP="00A33C02">
      <w:pPr>
        <w:shd w:val="clear" w:color="auto" w:fill="DAEEF3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>ń – jak litera – n</w:t>
      </w:r>
    </w:p>
    <w:p w:rsidR="00A33C02" w:rsidRPr="00A33C02" w:rsidRDefault="00A33C02" w:rsidP="00A33C02">
      <w:pPr>
        <w:shd w:val="clear" w:color="auto" w:fill="DAEEF3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>ó – jak litera – u</w:t>
      </w:r>
    </w:p>
    <w:p w:rsidR="00A33C02" w:rsidRPr="00A33C02" w:rsidRDefault="00A33C02" w:rsidP="00A33C02">
      <w:pPr>
        <w:shd w:val="clear" w:color="auto" w:fill="DAEEF3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>ś – jak litera – s</w:t>
      </w:r>
    </w:p>
    <w:p w:rsidR="00A33C02" w:rsidRPr="00A33C02" w:rsidRDefault="00A33C02" w:rsidP="00A33C02">
      <w:pPr>
        <w:shd w:val="clear" w:color="auto" w:fill="DAEEF3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>y – jak litera – i</w:t>
      </w:r>
    </w:p>
    <w:p w:rsidR="00A33C02" w:rsidRPr="00A33C02" w:rsidRDefault="00A33C02" w:rsidP="00A33C02">
      <w:pPr>
        <w:shd w:val="clear" w:color="auto" w:fill="DAEEF3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>ź, ż – jak litera – z</w:t>
      </w:r>
    </w:p>
    <w:p w:rsidR="00A33C02" w:rsidRPr="00A33C02" w:rsidRDefault="00A33C02" w:rsidP="00A33C02">
      <w:pPr>
        <w:spacing w:line="336" w:lineRule="auto"/>
        <w:rPr>
          <w:sz w:val="14"/>
          <w:szCs w:val="14"/>
        </w:rPr>
      </w:pPr>
    </w:p>
    <w:p w:rsidR="00A33C02" w:rsidRPr="00A33C02" w:rsidRDefault="00A33C02" w:rsidP="00A33C02">
      <w:pPr>
        <w:shd w:val="clear" w:color="auto" w:fill="EAF1DD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ab/>
        <w:t>3. Znaki pisarskie języków obcych układa się jak na przykład:</w:t>
      </w:r>
    </w:p>
    <w:p w:rsidR="00A33C02" w:rsidRPr="00A33C02" w:rsidRDefault="00A33C02" w:rsidP="00A33C02">
      <w:pPr>
        <w:shd w:val="clear" w:color="auto" w:fill="EAF1DD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>v – jak litera – w</w:t>
      </w:r>
    </w:p>
    <w:p w:rsidR="00A33C02" w:rsidRPr="00A33C02" w:rsidRDefault="00A33C02" w:rsidP="00A33C02">
      <w:pPr>
        <w:shd w:val="clear" w:color="auto" w:fill="EAF1DD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>q – jak litery – kw</w:t>
      </w:r>
    </w:p>
    <w:p w:rsidR="00A33C02" w:rsidRPr="00A33C02" w:rsidRDefault="00A33C02" w:rsidP="00A33C02">
      <w:pPr>
        <w:shd w:val="clear" w:color="auto" w:fill="EAF1DD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>x – jak litery – ks</w:t>
      </w:r>
    </w:p>
    <w:p w:rsidR="00A33C02" w:rsidRPr="00A33C02" w:rsidRDefault="00A33C02" w:rsidP="00A33C02">
      <w:pPr>
        <w:shd w:val="clear" w:color="auto" w:fill="EAF1DD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>ä – jak litery – ae</w:t>
      </w:r>
    </w:p>
    <w:p w:rsidR="00A33C02" w:rsidRPr="00A33C02" w:rsidRDefault="00A33C02" w:rsidP="00A33C02">
      <w:pPr>
        <w:shd w:val="clear" w:color="auto" w:fill="EAF1DD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>ӧ – jak litery – oe</w:t>
      </w:r>
    </w:p>
    <w:p w:rsidR="00A33C02" w:rsidRPr="00A33C02" w:rsidRDefault="00A33C02" w:rsidP="00A33C02">
      <w:pPr>
        <w:shd w:val="clear" w:color="auto" w:fill="EAF1DD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>ü – jak litery – ue</w:t>
      </w:r>
    </w:p>
    <w:p w:rsidR="00A33C02" w:rsidRPr="00A33C02" w:rsidRDefault="00A33C02" w:rsidP="00A33C02">
      <w:pPr>
        <w:shd w:val="clear" w:color="auto" w:fill="EAF1DD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>č – jak litery – c</w:t>
      </w:r>
    </w:p>
    <w:p w:rsidR="00A33C02" w:rsidRPr="00A33C02" w:rsidRDefault="00A33C02" w:rsidP="00A33C02">
      <w:pPr>
        <w:spacing w:line="336" w:lineRule="auto"/>
        <w:rPr>
          <w:sz w:val="14"/>
          <w:szCs w:val="14"/>
        </w:rPr>
      </w:pPr>
    </w:p>
    <w:p w:rsidR="00A33C02" w:rsidRPr="00A33C02" w:rsidRDefault="00A33C02" w:rsidP="00A33C02">
      <w:pPr>
        <w:shd w:val="clear" w:color="auto" w:fill="FFFFD5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ab/>
        <w:t>4. Karty ewidencyjno-adresowe układa się według alfabetu,</w:t>
      </w:r>
      <w:r w:rsidRPr="00A33C02">
        <w:rPr>
          <w:sz w:val="14"/>
          <w:szCs w:val="14"/>
        </w:rPr>
        <w:br/>
        <w:t>o którym mowa w ust. 1, a o kolejności kart wypisanych dla osób</w:t>
      </w:r>
      <w:r w:rsidRPr="00A33C02">
        <w:rPr>
          <w:sz w:val="14"/>
          <w:szCs w:val="14"/>
        </w:rPr>
        <w:br/>
        <w:t>o jednakowych nazwiskach decydują dalsze personalia tych osób</w:t>
      </w:r>
      <w:r w:rsidRPr="00A33C02">
        <w:rPr>
          <w:sz w:val="14"/>
          <w:szCs w:val="14"/>
        </w:rPr>
        <w:br/>
        <w:t>w następującej kolejności:</w:t>
      </w:r>
    </w:p>
    <w:p w:rsidR="00A33C02" w:rsidRPr="00A33C02" w:rsidRDefault="00A33C02" w:rsidP="00A33C02">
      <w:pPr>
        <w:shd w:val="clear" w:color="auto" w:fill="FFFFD5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>– imię,</w:t>
      </w:r>
    </w:p>
    <w:p w:rsidR="00A33C02" w:rsidRPr="00A33C02" w:rsidRDefault="00A33C02" w:rsidP="00A33C02">
      <w:pPr>
        <w:shd w:val="clear" w:color="auto" w:fill="FFFFD5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>– imię ojca,</w:t>
      </w:r>
    </w:p>
    <w:p w:rsidR="00A33C02" w:rsidRPr="00A33C02" w:rsidRDefault="00A33C02" w:rsidP="00A33C02">
      <w:pPr>
        <w:shd w:val="clear" w:color="auto" w:fill="FFFFD5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>– imię matki,</w:t>
      </w:r>
    </w:p>
    <w:p w:rsidR="00A33C02" w:rsidRPr="00A33C02" w:rsidRDefault="00A33C02" w:rsidP="00A33C02">
      <w:pPr>
        <w:shd w:val="clear" w:color="auto" w:fill="FFFFD5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>– data urodzenia (rok, miesiąc, dzień) poczynając od najstarszych wiekiem, np.:</w:t>
      </w:r>
    </w:p>
    <w:p w:rsidR="00A33C02" w:rsidRPr="00A33C02" w:rsidRDefault="00A33C02" w:rsidP="00A33C02">
      <w:pPr>
        <w:shd w:val="clear" w:color="auto" w:fill="FFFFD5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>Koc Adam s. Adama i Zofii, ur. 1898 r. II. 3,</w:t>
      </w:r>
    </w:p>
    <w:p w:rsidR="00A33C02" w:rsidRPr="00A33C02" w:rsidRDefault="00A33C02" w:rsidP="00A33C02">
      <w:pPr>
        <w:shd w:val="clear" w:color="auto" w:fill="FFFFD5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>Koc Adam s. Adama i Zofii, ur. 1898 r. XII. 2,</w:t>
      </w:r>
    </w:p>
    <w:p w:rsidR="00A33C02" w:rsidRPr="00A33C02" w:rsidRDefault="00A33C02" w:rsidP="00A33C02">
      <w:pPr>
        <w:shd w:val="clear" w:color="auto" w:fill="FFFFD5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>Koc Adam s. Adama i Zofii, ur. 1899 r. XII. 2.</w:t>
      </w:r>
    </w:p>
    <w:p w:rsidR="00A33C02" w:rsidRPr="00A33C02" w:rsidRDefault="00A33C02" w:rsidP="00A33C02">
      <w:pPr>
        <w:spacing w:line="336" w:lineRule="auto"/>
        <w:rPr>
          <w:sz w:val="14"/>
          <w:szCs w:val="14"/>
        </w:rPr>
      </w:pPr>
    </w:p>
    <w:p w:rsidR="00A33C02" w:rsidRPr="00A33C02" w:rsidRDefault="00A33C02" w:rsidP="00A33C02">
      <w:pPr>
        <w:shd w:val="clear" w:color="auto" w:fill="FDE9D9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ab/>
        <w:t>5. Jeżeli w karcie brak jest imienia ojca (nieznany), układa się ją w pierwszej kolejności, np.:</w:t>
      </w:r>
    </w:p>
    <w:p w:rsidR="00A33C02" w:rsidRPr="00A33C02" w:rsidRDefault="00A33C02" w:rsidP="00A33C02">
      <w:pPr>
        <w:shd w:val="clear" w:color="auto" w:fill="FDE9D9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>Koc Adam s. –,</w:t>
      </w:r>
    </w:p>
    <w:p w:rsidR="00A33C02" w:rsidRPr="00A33C02" w:rsidRDefault="00A33C02" w:rsidP="00A33C02">
      <w:pPr>
        <w:shd w:val="clear" w:color="auto" w:fill="FDE9D9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>Koc Adam s. Adama,</w:t>
      </w:r>
    </w:p>
    <w:p w:rsidR="00A33C02" w:rsidRPr="00A33C02" w:rsidRDefault="00A33C02" w:rsidP="00A33C02">
      <w:pPr>
        <w:shd w:val="clear" w:color="auto" w:fill="FDE9D9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>Koc Adam s. Jerzego.</w:t>
      </w:r>
    </w:p>
    <w:p w:rsidR="00A33C02" w:rsidRPr="00A33C02" w:rsidRDefault="00A33C02" w:rsidP="00A33C02">
      <w:pPr>
        <w:spacing w:line="336" w:lineRule="auto"/>
        <w:rPr>
          <w:sz w:val="14"/>
          <w:szCs w:val="14"/>
        </w:rPr>
      </w:pPr>
    </w:p>
    <w:p w:rsidR="00A33C02" w:rsidRPr="00A33C02" w:rsidRDefault="00A33C02" w:rsidP="00A33C02">
      <w:pPr>
        <w:shd w:val="clear" w:color="auto" w:fill="F2DBDB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ab/>
        <w:t>6. Na kolejność układu kart nie ma wpływu fakt posługiwania się przez osobę kilkoma imionami i na przykład układa się kartę założoną dla Koc Adam-Zygmunt s. Józefa przed kartą założoną dla Koc Adam-Antoni s. Zygmunta.</w:t>
      </w:r>
    </w:p>
    <w:p w:rsidR="00A33C02" w:rsidRPr="00A33C02" w:rsidRDefault="00A33C02" w:rsidP="00A33C02">
      <w:pPr>
        <w:spacing w:line="336" w:lineRule="auto"/>
        <w:rPr>
          <w:sz w:val="14"/>
          <w:szCs w:val="14"/>
        </w:rPr>
      </w:pPr>
    </w:p>
    <w:p w:rsidR="00A33C02" w:rsidRPr="00A33C02" w:rsidRDefault="00A33C02" w:rsidP="00A33C02">
      <w:pPr>
        <w:shd w:val="clear" w:color="auto" w:fill="E5DFEC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ab/>
        <w:t>7. Przy układaniu kart nie bierze się pod uwagę jednakowych liter bezpośrednio po sobie następujących, np.:</w:t>
      </w:r>
    </w:p>
    <w:p w:rsidR="00A33C02" w:rsidRPr="00A33C02" w:rsidRDefault="00A33C02" w:rsidP="00A33C02">
      <w:pPr>
        <w:shd w:val="clear" w:color="auto" w:fill="E5DFEC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>Ossowski – układa się jak – Osowski,</w:t>
      </w:r>
    </w:p>
    <w:p w:rsidR="00A33C02" w:rsidRPr="00A33C02" w:rsidRDefault="00A33C02" w:rsidP="00A33C02">
      <w:pPr>
        <w:shd w:val="clear" w:color="auto" w:fill="E5DFEC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>Kott – układa się jak – Kot,</w:t>
      </w:r>
    </w:p>
    <w:p w:rsidR="00A33C02" w:rsidRPr="00A33C02" w:rsidRDefault="00A33C02" w:rsidP="00A33C02">
      <w:pPr>
        <w:shd w:val="clear" w:color="auto" w:fill="E5DFEC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>Anna – układa się jak – Ana.</w:t>
      </w:r>
    </w:p>
    <w:p w:rsidR="00A33C02" w:rsidRPr="00A33C02" w:rsidRDefault="00A33C02" w:rsidP="00A33C02">
      <w:pPr>
        <w:spacing w:line="336" w:lineRule="auto"/>
        <w:rPr>
          <w:sz w:val="14"/>
          <w:szCs w:val="14"/>
        </w:rPr>
      </w:pPr>
    </w:p>
    <w:p w:rsidR="00A33C02" w:rsidRPr="00A33C02" w:rsidRDefault="00A33C02" w:rsidP="00A33C02">
      <w:pPr>
        <w:shd w:val="clear" w:color="auto" w:fill="DAEEF3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ab/>
        <w:t>8. Litery „Ch” występujące na początku wyrazu traktuje się jak „H”, np.:</w:t>
      </w:r>
    </w:p>
    <w:p w:rsidR="00A33C02" w:rsidRPr="00A33C02" w:rsidRDefault="00A33C02" w:rsidP="00A33C02">
      <w:pPr>
        <w:shd w:val="clear" w:color="auto" w:fill="DAEEF3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>Chmielewski – jak – Hmielewski.</w:t>
      </w:r>
    </w:p>
    <w:p w:rsidR="00A33C02" w:rsidRPr="00A33C02" w:rsidRDefault="00A33C02" w:rsidP="00A33C02">
      <w:pPr>
        <w:shd w:val="clear" w:color="auto" w:fill="DAEEF3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>Powyższe nie ma zastosowania, gdy „ch” występuje w środku wyrazu.</w:t>
      </w:r>
    </w:p>
    <w:p w:rsidR="00A33C02" w:rsidRDefault="00A33C02" w:rsidP="00A33C02">
      <w:pPr>
        <w:spacing w:line="336" w:lineRule="auto"/>
        <w:rPr>
          <w:sz w:val="14"/>
          <w:szCs w:val="14"/>
        </w:rPr>
      </w:pPr>
    </w:p>
    <w:p w:rsidR="00A33C02" w:rsidRPr="00A33C02" w:rsidRDefault="00A33C02" w:rsidP="00A33C02">
      <w:pPr>
        <w:shd w:val="clear" w:color="auto" w:fill="EAF1DD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ab/>
        <w:t>9. Litery „rz” zawsze traktuje się jak „rz”.</w:t>
      </w:r>
    </w:p>
    <w:p w:rsidR="00A33C02" w:rsidRDefault="00A33C02" w:rsidP="00A33C02">
      <w:pPr>
        <w:spacing w:line="336" w:lineRule="auto"/>
        <w:rPr>
          <w:sz w:val="14"/>
          <w:szCs w:val="14"/>
        </w:rPr>
      </w:pPr>
    </w:p>
    <w:p w:rsidR="00A33C02" w:rsidRPr="00A33C02" w:rsidRDefault="00A33C02" w:rsidP="00A33C02">
      <w:pPr>
        <w:spacing w:line="336" w:lineRule="auto"/>
        <w:rPr>
          <w:sz w:val="14"/>
          <w:szCs w:val="14"/>
        </w:rPr>
      </w:pPr>
    </w:p>
    <w:p w:rsidR="00A33C02" w:rsidRPr="00A33C02" w:rsidRDefault="00A33C02" w:rsidP="00A33C02">
      <w:pPr>
        <w:shd w:val="clear" w:color="auto" w:fill="FFFFD5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ab/>
        <w:t>10. Literę „m” występującą przed „b” lub „p” traktuje się</w:t>
      </w:r>
      <w:r w:rsidRPr="00A33C02">
        <w:rPr>
          <w:sz w:val="14"/>
          <w:szCs w:val="14"/>
        </w:rPr>
        <w:br/>
        <w:t>w układzie jak „n”, np.:</w:t>
      </w:r>
    </w:p>
    <w:p w:rsidR="00A33C02" w:rsidRPr="00A33C02" w:rsidRDefault="00A33C02" w:rsidP="00A33C02">
      <w:pPr>
        <w:shd w:val="clear" w:color="auto" w:fill="FFFFD5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>Zaremba – jak – Zarenba,</w:t>
      </w:r>
    </w:p>
    <w:p w:rsidR="00A33C02" w:rsidRPr="00A33C02" w:rsidRDefault="00A33C02" w:rsidP="00A33C02">
      <w:pPr>
        <w:shd w:val="clear" w:color="auto" w:fill="FFFFD5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>Jampolski – jak – Janpolski.</w:t>
      </w:r>
    </w:p>
    <w:p w:rsidR="00A33C02" w:rsidRPr="00A33C02" w:rsidRDefault="00A33C02" w:rsidP="00A33C02">
      <w:pPr>
        <w:spacing w:line="336" w:lineRule="auto"/>
        <w:rPr>
          <w:sz w:val="14"/>
          <w:szCs w:val="14"/>
        </w:rPr>
      </w:pPr>
    </w:p>
    <w:p w:rsidR="00A33C02" w:rsidRPr="00A33C02" w:rsidRDefault="00A33C02" w:rsidP="00A33C02">
      <w:pPr>
        <w:shd w:val="clear" w:color="auto" w:fill="FDE9D9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ab/>
        <w:t>11. Literę „b” występującą przed „c”, „k”, „s” traktuje się</w:t>
      </w:r>
      <w:r w:rsidRPr="00A33C02">
        <w:rPr>
          <w:sz w:val="14"/>
          <w:szCs w:val="14"/>
        </w:rPr>
        <w:br/>
        <w:t>w układzie jak „p”, np.:</w:t>
      </w:r>
    </w:p>
    <w:p w:rsidR="00A33C02" w:rsidRPr="00A33C02" w:rsidRDefault="00A33C02" w:rsidP="00A33C02">
      <w:pPr>
        <w:shd w:val="clear" w:color="auto" w:fill="FDE9D9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>Sobczak – jak – Sopczak,</w:t>
      </w:r>
    </w:p>
    <w:p w:rsidR="00A33C02" w:rsidRPr="00A33C02" w:rsidRDefault="00A33C02" w:rsidP="00A33C02">
      <w:pPr>
        <w:shd w:val="clear" w:color="auto" w:fill="FDE9D9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>Bobkowski – jak – Bopkowski,</w:t>
      </w:r>
    </w:p>
    <w:p w:rsidR="00A33C02" w:rsidRPr="00A33C02" w:rsidRDefault="00A33C02" w:rsidP="00A33C02">
      <w:pPr>
        <w:shd w:val="clear" w:color="auto" w:fill="FDE9D9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>Grabski – jak – Grapski.</w:t>
      </w:r>
    </w:p>
    <w:p w:rsidR="00A33C02" w:rsidRPr="00A33C02" w:rsidRDefault="00A33C02" w:rsidP="00A33C02">
      <w:pPr>
        <w:spacing w:line="336" w:lineRule="auto"/>
        <w:rPr>
          <w:sz w:val="14"/>
          <w:szCs w:val="14"/>
        </w:rPr>
      </w:pPr>
    </w:p>
    <w:p w:rsidR="00A33C02" w:rsidRPr="00A33C02" w:rsidRDefault="00A33C02" w:rsidP="00A33C02">
      <w:pPr>
        <w:spacing w:line="336" w:lineRule="auto"/>
        <w:rPr>
          <w:sz w:val="14"/>
          <w:szCs w:val="14"/>
        </w:rPr>
      </w:pPr>
    </w:p>
    <w:p w:rsidR="00A33C02" w:rsidRPr="00A33C02" w:rsidRDefault="00A33C02" w:rsidP="00A33C02">
      <w:pPr>
        <w:shd w:val="clear" w:color="auto" w:fill="F2DBDB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ab/>
        <w:t>12. Literę „d” występującą przed „c’, „k”, „s” traktuje się</w:t>
      </w:r>
      <w:r w:rsidRPr="00A33C02">
        <w:rPr>
          <w:sz w:val="14"/>
          <w:szCs w:val="14"/>
        </w:rPr>
        <w:br/>
        <w:t>w układzie jak „t”, np.:</w:t>
      </w:r>
    </w:p>
    <w:p w:rsidR="00A33C02" w:rsidRPr="00A33C02" w:rsidRDefault="00A33C02" w:rsidP="00A33C02">
      <w:pPr>
        <w:shd w:val="clear" w:color="auto" w:fill="F2DBDB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>Widczak – jak – Witczak,</w:t>
      </w:r>
    </w:p>
    <w:p w:rsidR="00A33C02" w:rsidRPr="00A33C02" w:rsidRDefault="00A33C02" w:rsidP="00A33C02">
      <w:pPr>
        <w:shd w:val="clear" w:color="auto" w:fill="F2DBDB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>Podkowa – jak – Potkowa,</w:t>
      </w:r>
    </w:p>
    <w:p w:rsidR="00A33C02" w:rsidRPr="00A33C02" w:rsidRDefault="00A33C02" w:rsidP="00A33C02">
      <w:pPr>
        <w:shd w:val="clear" w:color="auto" w:fill="F2DBDB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>Podsiadły – jak – Potsiadły.</w:t>
      </w:r>
    </w:p>
    <w:p w:rsidR="00A33C02" w:rsidRPr="00A33C02" w:rsidRDefault="00A33C02" w:rsidP="00A33C02">
      <w:pPr>
        <w:spacing w:line="336" w:lineRule="auto"/>
        <w:rPr>
          <w:sz w:val="14"/>
          <w:szCs w:val="14"/>
        </w:rPr>
      </w:pPr>
    </w:p>
    <w:p w:rsidR="00A33C02" w:rsidRPr="00A33C02" w:rsidRDefault="00A33C02" w:rsidP="00A33C02">
      <w:pPr>
        <w:shd w:val="clear" w:color="auto" w:fill="E5DFEC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ab/>
        <w:t>13. Literę „i” występującą po „a”, „e”, „o” traktuje się</w:t>
      </w:r>
      <w:r w:rsidRPr="00A33C02">
        <w:rPr>
          <w:sz w:val="14"/>
          <w:szCs w:val="14"/>
        </w:rPr>
        <w:br/>
        <w:t>w układzie jak „j”, np.:</w:t>
      </w:r>
    </w:p>
    <w:p w:rsidR="00A33C02" w:rsidRPr="00A33C02" w:rsidRDefault="00A33C02" w:rsidP="00A33C02">
      <w:pPr>
        <w:shd w:val="clear" w:color="auto" w:fill="E5DFEC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>Maik – jak – Majk,</w:t>
      </w:r>
    </w:p>
    <w:p w:rsidR="00A33C02" w:rsidRPr="00A33C02" w:rsidRDefault="00A33C02" w:rsidP="00A33C02">
      <w:pPr>
        <w:shd w:val="clear" w:color="auto" w:fill="E5DFEC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>Madei – jak – Madej,</w:t>
      </w:r>
    </w:p>
    <w:p w:rsidR="00A33C02" w:rsidRPr="00A33C02" w:rsidRDefault="00A33C02" w:rsidP="00A33C02">
      <w:pPr>
        <w:shd w:val="clear" w:color="auto" w:fill="E5DFEC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>Choina – jak – Chojna.</w:t>
      </w:r>
    </w:p>
    <w:p w:rsidR="00A33C02" w:rsidRPr="00A33C02" w:rsidRDefault="00A33C02" w:rsidP="00A33C02">
      <w:pPr>
        <w:spacing w:line="336" w:lineRule="auto"/>
        <w:rPr>
          <w:sz w:val="14"/>
          <w:szCs w:val="14"/>
        </w:rPr>
      </w:pPr>
    </w:p>
    <w:p w:rsidR="00A33C02" w:rsidRPr="00A33C02" w:rsidRDefault="00A33C02" w:rsidP="00A33C02">
      <w:pPr>
        <w:shd w:val="clear" w:color="auto" w:fill="DAEEF3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ab/>
        <w:t>14. Karty ewidencyjno-adresowe z nazwiskami dwuczłonowymi układa się według pierwszego członu nazwiska, nie biorąc pod uwagę jego drugiej części, np. Koc-Bobrowski układa się w grupie nazwisk Koc i o dalszej kolejności decydują pozostałe dane osobowe według zasad określonych w ust. 1–12.</w:t>
      </w:r>
    </w:p>
    <w:p w:rsidR="00A33C02" w:rsidRPr="00A33C02" w:rsidRDefault="00A33C02" w:rsidP="00A33C02">
      <w:pPr>
        <w:spacing w:line="336" w:lineRule="auto"/>
        <w:rPr>
          <w:sz w:val="14"/>
          <w:szCs w:val="14"/>
        </w:rPr>
      </w:pPr>
    </w:p>
    <w:p w:rsidR="00A33C02" w:rsidRPr="00A33C02" w:rsidRDefault="00A33C02" w:rsidP="00A33C02">
      <w:pPr>
        <w:shd w:val="clear" w:color="auto" w:fill="EAF1DD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ab/>
        <w:t>15. Nazwiska obce poprzedzone dodatkowymi sylabami traktuje się jako całość i układa się według pełnego brzmienia, np.:</w:t>
      </w:r>
    </w:p>
    <w:p w:rsidR="00A33C02" w:rsidRPr="00A33C02" w:rsidRDefault="00A33C02" w:rsidP="00A33C02">
      <w:pPr>
        <w:shd w:val="clear" w:color="auto" w:fill="EAF1DD"/>
        <w:spacing w:line="336" w:lineRule="auto"/>
        <w:rPr>
          <w:sz w:val="14"/>
          <w:szCs w:val="14"/>
          <w:lang w:val="en-US"/>
        </w:rPr>
      </w:pPr>
      <w:r w:rsidRPr="00A33C02">
        <w:rPr>
          <w:sz w:val="14"/>
          <w:szCs w:val="14"/>
          <w:lang w:val="en-US"/>
        </w:rPr>
        <w:t>De Loche – jak – Deloche,</w:t>
      </w:r>
    </w:p>
    <w:p w:rsidR="00A33C02" w:rsidRPr="00A33C02" w:rsidRDefault="00A33C02" w:rsidP="00A33C02">
      <w:pPr>
        <w:shd w:val="clear" w:color="auto" w:fill="EAF1DD"/>
        <w:spacing w:line="336" w:lineRule="auto"/>
        <w:rPr>
          <w:sz w:val="14"/>
          <w:szCs w:val="14"/>
          <w:lang w:val="en-US"/>
        </w:rPr>
      </w:pPr>
      <w:r w:rsidRPr="00A33C02">
        <w:rPr>
          <w:sz w:val="14"/>
          <w:szCs w:val="14"/>
          <w:lang w:val="en-US"/>
        </w:rPr>
        <w:t>D’Abrignon – jak – Dabrignon.</w:t>
      </w:r>
    </w:p>
    <w:p w:rsidR="00A33C02" w:rsidRPr="00A33C02" w:rsidRDefault="00A33C02" w:rsidP="00A33C02">
      <w:pPr>
        <w:shd w:val="clear" w:color="auto" w:fill="EAF1DD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  <w:lang w:val="en-US"/>
        </w:rPr>
        <w:tab/>
      </w:r>
      <w:r w:rsidRPr="00A33C02">
        <w:rPr>
          <w:sz w:val="14"/>
          <w:szCs w:val="14"/>
        </w:rPr>
        <w:t>Dla nazwisk tych wypisuje się ponadto karty-odsyłacze:</w:t>
      </w:r>
    </w:p>
    <w:p w:rsidR="00A33C02" w:rsidRPr="00A33C02" w:rsidRDefault="00A33C02" w:rsidP="00A33C02">
      <w:pPr>
        <w:shd w:val="clear" w:color="auto" w:fill="EAF1DD"/>
        <w:spacing w:line="336" w:lineRule="auto"/>
        <w:rPr>
          <w:sz w:val="14"/>
          <w:szCs w:val="14"/>
          <w:lang w:val="en-US"/>
        </w:rPr>
      </w:pPr>
      <w:r w:rsidRPr="00A33C02">
        <w:rPr>
          <w:sz w:val="14"/>
          <w:szCs w:val="14"/>
          <w:lang w:val="en-US"/>
        </w:rPr>
        <w:t xml:space="preserve">Loche – patrz – </w:t>
      </w:r>
      <w:r w:rsidRPr="00A33C02">
        <w:rPr>
          <w:b/>
          <w:sz w:val="14"/>
          <w:szCs w:val="14"/>
          <w:lang w:val="en-US"/>
        </w:rPr>
        <w:t>De Loche</w:t>
      </w:r>
      <w:r w:rsidRPr="00A33C02">
        <w:rPr>
          <w:sz w:val="14"/>
          <w:szCs w:val="14"/>
          <w:lang w:val="en-US"/>
        </w:rPr>
        <w:t>,</w:t>
      </w:r>
    </w:p>
    <w:p w:rsidR="00A33C02" w:rsidRPr="00A33C02" w:rsidRDefault="00A33C02" w:rsidP="00A33C02">
      <w:pPr>
        <w:shd w:val="clear" w:color="auto" w:fill="EAF1DD"/>
        <w:spacing w:line="336" w:lineRule="auto"/>
        <w:rPr>
          <w:sz w:val="14"/>
          <w:szCs w:val="14"/>
          <w:lang w:val="en-US"/>
        </w:rPr>
      </w:pPr>
      <w:r w:rsidRPr="00A33C02">
        <w:rPr>
          <w:sz w:val="14"/>
          <w:szCs w:val="14"/>
          <w:lang w:val="en-US"/>
        </w:rPr>
        <w:t xml:space="preserve">Abrignon – patrz – </w:t>
      </w:r>
      <w:r w:rsidRPr="00A33C02">
        <w:rPr>
          <w:b/>
          <w:sz w:val="14"/>
          <w:szCs w:val="14"/>
          <w:lang w:val="en-US"/>
        </w:rPr>
        <w:t>Dabrignon</w:t>
      </w:r>
      <w:r w:rsidRPr="00A33C02">
        <w:rPr>
          <w:sz w:val="14"/>
          <w:szCs w:val="14"/>
          <w:lang w:val="en-US"/>
        </w:rPr>
        <w:t>.</w:t>
      </w:r>
    </w:p>
    <w:p w:rsidR="00A33C02" w:rsidRPr="00A33C02" w:rsidRDefault="00A33C02" w:rsidP="00A33C02">
      <w:pPr>
        <w:spacing w:line="336" w:lineRule="auto"/>
        <w:rPr>
          <w:sz w:val="14"/>
          <w:szCs w:val="14"/>
          <w:lang w:val="en-US"/>
        </w:rPr>
      </w:pPr>
    </w:p>
    <w:p w:rsidR="00A33C02" w:rsidRPr="00A33C02" w:rsidRDefault="00A33C02" w:rsidP="00A33C02">
      <w:pPr>
        <w:shd w:val="clear" w:color="auto" w:fill="FFFFD5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  <w:lang w:val="en-US"/>
        </w:rPr>
        <w:tab/>
      </w:r>
      <w:r w:rsidRPr="00A33C02">
        <w:rPr>
          <w:sz w:val="14"/>
          <w:szCs w:val="14"/>
        </w:rPr>
        <w:t>16. Nazwiska i imiona o brzmieniu niepolskim układa się ściśle według ich pisowni nie uwzględniając zasad ustalonych w ust. 7–12, np.:</w:t>
      </w:r>
    </w:p>
    <w:p w:rsidR="00A33C02" w:rsidRPr="00A33C02" w:rsidRDefault="00A33C02" w:rsidP="00A33C02">
      <w:pPr>
        <w:shd w:val="clear" w:color="auto" w:fill="FFFFD5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>Schultz – jak – Schultz*,</w:t>
      </w:r>
    </w:p>
    <w:p w:rsidR="00A33C02" w:rsidRPr="00A33C02" w:rsidRDefault="00A33C02" w:rsidP="00A33C02">
      <w:pPr>
        <w:shd w:val="clear" w:color="auto" w:fill="FFFFD5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>Müller – jak – Mueller.</w:t>
      </w:r>
    </w:p>
    <w:p w:rsidR="00A33C02" w:rsidRPr="00A33C02" w:rsidRDefault="00A33C02" w:rsidP="00A33C02">
      <w:pPr>
        <w:shd w:val="clear" w:color="auto" w:fill="FFFFD5"/>
        <w:spacing w:line="336" w:lineRule="auto"/>
        <w:rPr>
          <w:sz w:val="14"/>
          <w:szCs w:val="14"/>
        </w:rPr>
      </w:pPr>
    </w:p>
    <w:p w:rsidR="00A33C02" w:rsidRPr="00A33C02" w:rsidRDefault="00A33C02" w:rsidP="00A33C02">
      <w:pPr>
        <w:shd w:val="clear" w:color="auto" w:fill="FFFFD5"/>
        <w:spacing w:line="336" w:lineRule="auto"/>
        <w:rPr>
          <w:sz w:val="14"/>
          <w:szCs w:val="14"/>
        </w:rPr>
      </w:pPr>
    </w:p>
    <w:p w:rsidR="00A33C02" w:rsidRPr="00A33C02" w:rsidRDefault="00A33C02" w:rsidP="00A33C02">
      <w:pPr>
        <w:shd w:val="clear" w:color="auto" w:fill="FFFFD5"/>
        <w:spacing w:line="336" w:lineRule="auto"/>
        <w:rPr>
          <w:sz w:val="14"/>
          <w:szCs w:val="14"/>
        </w:rPr>
      </w:pPr>
      <w:r w:rsidRPr="00A33C02">
        <w:rPr>
          <w:sz w:val="14"/>
          <w:szCs w:val="14"/>
        </w:rPr>
        <w:tab/>
        <w:t xml:space="preserve">* W </w:t>
      </w:r>
      <w:r w:rsidRPr="00A33C02">
        <w:rPr>
          <w:i/>
          <w:sz w:val="14"/>
          <w:szCs w:val="14"/>
        </w:rPr>
        <w:t>Kartotece ogólnoinformacyjnej WUSW we Wrocławiu</w:t>
      </w:r>
      <w:r w:rsidRPr="00A33C02">
        <w:rPr>
          <w:sz w:val="14"/>
          <w:szCs w:val="14"/>
        </w:rPr>
        <w:br/>
        <w:t>litery „Sch” i „Sh” traktowane są zawsze na początku wyrazu jak „Sz”.</w:t>
      </w:r>
    </w:p>
    <w:p w:rsidR="00A33C02" w:rsidRPr="00A33C02" w:rsidRDefault="00A33C02" w:rsidP="00A77415">
      <w:pPr>
        <w:rPr>
          <w:sz w:val="14"/>
          <w:szCs w:val="14"/>
        </w:rPr>
        <w:sectPr w:rsidR="00A33C02" w:rsidRPr="00A33C02" w:rsidSect="00A33C02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</w:p>
    <w:p w:rsidR="00012447" w:rsidRDefault="00012447" w:rsidP="00012447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VIII – Numeracja akt ewidencji operacyjnej</w:t>
      </w:r>
    </w:p>
    <w:p w:rsidR="00012447" w:rsidRDefault="00012447" w:rsidP="00012447">
      <w:pPr>
        <w:jc w:val="center"/>
        <w:rPr>
          <w:b/>
          <w:sz w:val="22"/>
        </w:rPr>
      </w:pPr>
    </w:p>
    <w:p w:rsidR="00012447" w:rsidRPr="00012447" w:rsidRDefault="00012447" w:rsidP="00012447">
      <w:pPr>
        <w:shd w:val="clear" w:color="auto" w:fill="FDE9D9"/>
        <w:jc w:val="center"/>
        <w:rPr>
          <w:b/>
          <w:sz w:val="22"/>
        </w:rPr>
      </w:pPr>
      <w:r w:rsidRPr="00012447">
        <w:rPr>
          <w:b/>
          <w:sz w:val="22"/>
        </w:rPr>
        <w:t>Numer  rejestracyjny</w:t>
      </w:r>
    </w:p>
    <w:p w:rsidR="00012447" w:rsidRPr="00012447" w:rsidRDefault="00012447" w:rsidP="00012447">
      <w:pPr>
        <w:shd w:val="clear" w:color="auto" w:fill="FDE9D9"/>
        <w:rPr>
          <w:sz w:val="22"/>
        </w:rPr>
      </w:pPr>
      <w:r w:rsidRPr="00012447">
        <w:rPr>
          <w:sz w:val="22"/>
        </w:rPr>
        <w:tab/>
        <w:t xml:space="preserve">Nadanie numeru rejestracyjnego </w:t>
      </w:r>
      <w:r w:rsidRPr="00012447">
        <w:rPr>
          <w:b/>
          <w:sz w:val="22"/>
        </w:rPr>
        <w:t>rozpoczynało</w:t>
      </w:r>
      <w:r w:rsidRPr="00012447">
        <w:rPr>
          <w:sz w:val="22"/>
        </w:rPr>
        <w:t xml:space="preserve"> oficjalnie daną </w:t>
      </w:r>
      <w:r w:rsidRPr="00012447">
        <w:rPr>
          <w:b/>
          <w:sz w:val="22"/>
        </w:rPr>
        <w:t>sprawę</w:t>
      </w:r>
      <w:r w:rsidRPr="00012447">
        <w:rPr>
          <w:sz w:val="22"/>
        </w:rPr>
        <w:t xml:space="preserve">. Zapisywano go cyframi arabskimi, jest on ciągły dla danego województwa. Nadawano go na podstawie księgi, czyli </w:t>
      </w:r>
      <w:r w:rsidRPr="00012447">
        <w:rPr>
          <w:b/>
          <w:i/>
          <w:sz w:val="22"/>
        </w:rPr>
        <w:t>Dziennika rejestracyjnego spraw operacyjnych</w:t>
      </w:r>
      <w:r w:rsidRPr="00012447">
        <w:rPr>
          <w:sz w:val="22"/>
        </w:rPr>
        <w:t>.</w:t>
      </w:r>
    </w:p>
    <w:p w:rsidR="00012447" w:rsidRPr="00012447" w:rsidRDefault="00012447" w:rsidP="00012447">
      <w:pPr>
        <w:shd w:val="clear" w:color="auto" w:fill="FDE9D9"/>
        <w:rPr>
          <w:sz w:val="22"/>
        </w:rPr>
      </w:pPr>
      <w:r w:rsidRPr="00012447">
        <w:rPr>
          <w:sz w:val="22"/>
        </w:rPr>
        <w:tab/>
        <w:t xml:space="preserve">Karta założona na osobę będącą w bieżącym rozpracowaniu zawierała na awersie dane osobowe oraz dane kontaktowe do funkcjonariusza operacyjnego prowadzącego sprawę, a na rewersie jedynie numer rejestracyjny. Służyło to dodatkowemu utajnieniu aktualnej pracy operacyjnej służb specjalnych. Osoba obsługująca </w:t>
      </w:r>
      <w:r w:rsidRPr="00012447">
        <w:rPr>
          <w:i/>
          <w:sz w:val="22"/>
        </w:rPr>
        <w:t>Kartotekę ogólnoinformacyjną</w:t>
      </w:r>
      <w:r w:rsidRPr="00012447">
        <w:rPr>
          <w:sz w:val="22"/>
        </w:rPr>
        <w:t xml:space="preserve"> (KOI) nie wiedziała, w jakim celu dana osoba jest rejestrowana. Cel rejestracji był wyjaśniony w innej kartotece, tj. </w:t>
      </w:r>
      <w:r w:rsidRPr="00012447">
        <w:rPr>
          <w:i/>
          <w:sz w:val="22"/>
        </w:rPr>
        <w:t>Kartotece rejestracyjnej</w:t>
      </w:r>
      <w:r w:rsidRPr="00012447">
        <w:rPr>
          <w:sz w:val="22"/>
        </w:rPr>
        <w:t xml:space="preserve"> (KR). Karty w tym zbiorze były ułożone według numerów rejestracyjnych, zawierały dane osobowe zarejestrowanej osoby, powód rejestracji, itd. Dostęp do tej kartoteki miały tylko nieliczne osoby, stanowiła ona istotne uzupełnienie KOI.</w:t>
      </w:r>
    </w:p>
    <w:p w:rsidR="00012447" w:rsidRPr="00012447" w:rsidRDefault="00012447" w:rsidP="00012447">
      <w:pPr>
        <w:rPr>
          <w:sz w:val="22"/>
        </w:rPr>
      </w:pPr>
    </w:p>
    <w:p w:rsidR="00012447" w:rsidRPr="00012447" w:rsidRDefault="00012447" w:rsidP="00012447">
      <w:pPr>
        <w:shd w:val="clear" w:color="auto" w:fill="EAF1DD"/>
        <w:jc w:val="center"/>
        <w:rPr>
          <w:b/>
          <w:sz w:val="22"/>
        </w:rPr>
      </w:pPr>
      <w:r w:rsidRPr="00012447">
        <w:rPr>
          <w:b/>
          <w:sz w:val="22"/>
        </w:rPr>
        <w:t>Numer  archiwalny</w:t>
      </w:r>
    </w:p>
    <w:p w:rsidR="00012447" w:rsidRPr="00012447" w:rsidRDefault="00012447" w:rsidP="00012447">
      <w:pPr>
        <w:shd w:val="clear" w:color="auto" w:fill="EAF1DD"/>
        <w:rPr>
          <w:sz w:val="22"/>
        </w:rPr>
      </w:pPr>
      <w:r w:rsidRPr="00012447">
        <w:rPr>
          <w:sz w:val="22"/>
        </w:rPr>
        <w:tab/>
        <w:t xml:space="preserve">Nadanie numeru archiwalnego </w:t>
      </w:r>
      <w:r w:rsidRPr="00012447">
        <w:rPr>
          <w:b/>
          <w:sz w:val="22"/>
        </w:rPr>
        <w:t>kończyło</w:t>
      </w:r>
      <w:r w:rsidRPr="00012447">
        <w:rPr>
          <w:sz w:val="22"/>
        </w:rPr>
        <w:t xml:space="preserve"> oficjalnie daną </w:t>
      </w:r>
      <w:r w:rsidRPr="00012447">
        <w:rPr>
          <w:b/>
          <w:sz w:val="22"/>
        </w:rPr>
        <w:t>sprawę</w:t>
      </w:r>
      <w:r w:rsidRPr="00012447">
        <w:rPr>
          <w:sz w:val="22"/>
        </w:rPr>
        <w:t xml:space="preserve">. Numer archiwalny składał się z dwóch części: 1) oznaczenia cyfrą rzymską tzw. działu akt, czyli kategorii spraw operacyjnych oraz 2) arabskiego numeru kolejnego z danego </w:t>
      </w:r>
      <w:r w:rsidRPr="00012447">
        <w:rPr>
          <w:b/>
          <w:i/>
          <w:sz w:val="22"/>
        </w:rPr>
        <w:t>Dziennika archiwalnego</w:t>
      </w:r>
      <w:r w:rsidRPr="00012447">
        <w:rPr>
          <w:sz w:val="22"/>
        </w:rPr>
        <w:t xml:space="preserve">. Prowadzono odrębne dzienniki dla poszczególnych </w:t>
      </w:r>
      <w:r w:rsidRPr="00012447">
        <w:rPr>
          <w:b/>
          <w:sz w:val="22"/>
        </w:rPr>
        <w:t>czterech działów akt operacyjnych</w:t>
      </w:r>
      <w:r w:rsidRPr="00012447">
        <w:rPr>
          <w:sz w:val="22"/>
        </w:rPr>
        <w:t>:</w:t>
      </w:r>
    </w:p>
    <w:p w:rsidR="00012447" w:rsidRPr="00012447" w:rsidRDefault="00012447" w:rsidP="00012447">
      <w:pPr>
        <w:shd w:val="clear" w:color="auto" w:fill="D6E3BC"/>
        <w:ind w:left="567" w:hanging="567"/>
        <w:rPr>
          <w:sz w:val="22"/>
        </w:rPr>
      </w:pPr>
      <w:r w:rsidRPr="00012447">
        <w:rPr>
          <w:b/>
          <w:sz w:val="22"/>
        </w:rPr>
        <w:t xml:space="preserve"> I</w:t>
      </w:r>
      <w:r w:rsidRPr="00012447">
        <w:rPr>
          <w:sz w:val="22"/>
        </w:rPr>
        <w:t xml:space="preserve"> – </w:t>
      </w:r>
      <w:r w:rsidRPr="00012447">
        <w:rPr>
          <w:b/>
          <w:sz w:val="22"/>
        </w:rPr>
        <w:t>sieć agenturalna</w:t>
      </w:r>
      <w:r w:rsidRPr="00012447">
        <w:rPr>
          <w:sz w:val="22"/>
        </w:rPr>
        <w:t>, czyli zwerbowani współpracownicy: tajni współpracownicy (TW), osoby zaufane (OZ), lokale kontaktowe (LK); w tym dziale akt umieszczano też kandydatów na współpracowników (K</w:t>
      </w:r>
      <w:r>
        <w:rPr>
          <w:sz w:val="22"/>
        </w:rPr>
        <w:t xml:space="preserve"> lub kTW</w:t>
      </w:r>
      <w:r w:rsidRPr="00012447">
        <w:rPr>
          <w:sz w:val="22"/>
        </w:rPr>
        <w:t>), czyli osoby, które bezskutecznie próbowano zwerbować;</w:t>
      </w:r>
    </w:p>
    <w:p w:rsidR="00012447" w:rsidRPr="00012447" w:rsidRDefault="00012447" w:rsidP="00012447">
      <w:pPr>
        <w:shd w:val="clear" w:color="auto" w:fill="D6E3BC"/>
        <w:ind w:left="567" w:hanging="567"/>
        <w:rPr>
          <w:sz w:val="22"/>
        </w:rPr>
      </w:pPr>
      <w:r w:rsidRPr="00012447">
        <w:rPr>
          <w:b/>
          <w:sz w:val="22"/>
        </w:rPr>
        <w:t>II</w:t>
      </w:r>
      <w:r w:rsidRPr="00012447">
        <w:rPr>
          <w:sz w:val="22"/>
        </w:rPr>
        <w:t xml:space="preserve"> – </w:t>
      </w:r>
      <w:r w:rsidRPr="00012447">
        <w:rPr>
          <w:b/>
          <w:sz w:val="22"/>
        </w:rPr>
        <w:t>inwigilacja</w:t>
      </w:r>
      <w:r w:rsidRPr="00012447">
        <w:rPr>
          <w:sz w:val="22"/>
        </w:rPr>
        <w:t>, czyli sprawy operacyjne zakładane na osoby lub grupy celem ich prewencyjnej, niejawnej obserwacji i ewentualnego działania: kwestionariusze ewidencyjne (KE), sprawy operacyjnego sprawdzenia (SOS), sprawy operacyjnego rozpracowania (SOR);</w:t>
      </w:r>
    </w:p>
    <w:p w:rsidR="00012447" w:rsidRPr="00012447" w:rsidRDefault="00012447" w:rsidP="00012447">
      <w:pPr>
        <w:shd w:val="clear" w:color="auto" w:fill="D6E3BC"/>
        <w:ind w:left="567" w:hanging="567"/>
        <w:rPr>
          <w:sz w:val="22"/>
        </w:rPr>
      </w:pPr>
      <w:r w:rsidRPr="00012447">
        <w:rPr>
          <w:b/>
          <w:sz w:val="22"/>
        </w:rPr>
        <w:t>III</w:t>
      </w:r>
      <w:r w:rsidRPr="00012447">
        <w:rPr>
          <w:sz w:val="22"/>
        </w:rPr>
        <w:t xml:space="preserve"> – </w:t>
      </w:r>
      <w:r w:rsidRPr="00012447">
        <w:rPr>
          <w:b/>
          <w:sz w:val="22"/>
        </w:rPr>
        <w:t>sprawy dochodzeniowo-śledcze</w:t>
      </w:r>
      <w:r w:rsidRPr="00012447">
        <w:rPr>
          <w:sz w:val="22"/>
        </w:rPr>
        <w:t xml:space="preserve"> zakładane na konkretny czyn polityczny, prowadzone jak typowe śledztwo, kończące się postępowaniem sądowym;</w:t>
      </w:r>
    </w:p>
    <w:p w:rsidR="00012447" w:rsidRPr="00012447" w:rsidRDefault="00012447" w:rsidP="00012447">
      <w:pPr>
        <w:shd w:val="clear" w:color="auto" w:fill="D6E3BC"/>
        <w:ind w:left="567" w:hanging="567"/>
        <w:rPr>
          <w:sz w:val="22"/>
        </w:rPr>
      </w:pPr>
      <w:r w:rsidRPr="00012447">
        <w:rPr>
          <w:b/>
          <w:sz w:val="22"/>
        </w:rPr>
        <w:t>IV</w:t>
      </w:r>
      <w:r w:rsidRPr="00012447">
        <w:rPr>
          <w:sz w:val="22"/>
        </w:rPr>
        <w:t xml:space="preserve"> – </w:t>
      </w:r>
      <w:r w:rsidRPr="00012447">
        <w:rPr>
          <w:b/>
          <w:sz w:val="22"/>
        </w:rPr>
        <w:t>sprawy obiektowe</w:t>
      </w:r>
      <w:r w:rsidRPr="00012447">
        <w:rPr>
          <w:sz w:val="22"/>
        </w:rPr>
        <w:t xml:space="preserve"> (SO) dotyczące dużych grup, partii politycznych, zakładów pracy, prowadzone prewencyjnie przez długi okres czasu, nieraz kilkadziesiąt lat.</w:t>
      </w:r>
    </w:p>
    <w:p w:rsidR="00012447" w:rsidRPr="00012447" w:rsidRDefault="00012447" w:rsidP="00012447">
      <w:pPr>
        <w:shd w:val="clear" w:color="auto" w:fill="EAF1DD"/>
        <w:rPr>
          <w:sz w:val="22"/>
        </w:rPr>
      </w:pPr>
      <w:r w:rsidRPr="00012447">
        <w:rPr>
          <w:sz w:val="22"/>
        </w:rPr>
        <w:tab/>
        <w:t>Karta osoby, wobec której zakończono już działania operacyjne, posiadała więcej danych. Awers zawierał dane osobowe, jednak rewers wypełniony był informacją dotyczącą numeru rejestracyjnego, przebiegu i rodzaju sprawy oraz jej numeru archiwalnego. Dzięki temu można było wypożyczyć z archiwum konkretne akta. Numer archiwalny oznaczał dosłownie, w której części archiwum i w jakiej kolejności znajdowała się zakończona sprawa.</w:t>
      </w:r>
    </w:p>
    <w:p w:rsidR="00A33ABB" w:rsidRPr="00012447" w:rsidRDefault="00A33ABB" w:rsidP="00A77415">
      <w:pPr>
        <w:rPr>
          <w:sz w:val="22"/>
        </w:rPr>
      </w:pPr>
    </w:p>
    <w:sectPr w:rsidR="00A33ABB" w:rsidRPr="00012447" w:rsidSect="00806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AF8" w:rsidRDefault="00CC2AF8" w:rsidP="00826E42">
      <w:pPr>
        <w:spacing w:line="240" w:lineRule="auto"/>
      </w:pPr>
      <w:r>
        <w:separator/>
      </w:r>
    </w:p>
  </w:endnote>
  <w:endnote w:type="continuationSeparator" w:id="0">
    <w:p w:rsidR="00CC2AF8" w:rsidRDefault="00CC2AF8" w:rsidP="00826E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42" w:rsidRDefault="00826E42">
    <w:pPr>
      <w:pStyle w:val="Stopka"/>
      <w:jc w:val="right"/>
    </w:pPr>
    <w:fldSimple w:instr="PAGE   \* MERGEFORMAT">
      <w:r w:rsidR="006F3DF8"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AF8" w:rsidRDefault="00CC2AF8" w:rsidP="00826E42">
      <w:pPr>
        <w:spacing w:line="240" w:lineRule="auto"/>
      </w:pPr>
      <w:r>
        <w:separator/>
      </w:r>
    </w:p>
  </w:footnote>
  <w:footnote w:type="continuationSeparator" w:id="0">
    <w:p w:rsidR="00CC2AF8" w:rsidRDefault="00CC2AF8" w:rsidP="00826E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8D6"/>
    <w:rsid w:val="00012447"/>
    <w:rsid w:val="0001326D"/>
    <w:rsid w:val="0002775B"/>
    <w:rsid w:val="00034A22"/>
    <w:rsid w:val="0004145B"/>
    <w:rsid w:val="00072838"/>
    <w:rsid w:val="000738C5"/>
    <w:rsid w:val="000A7FAF"/>
    <w:rsid w:val="000C7DE9"/>
    <w:rsid w:val="000E0AF5"/>
    <w:rsid w:val="000E414A"/>
    <w:rsid w:val="00111E6A"/>
    <w:rsid w:val="00121B45"/>
    <w:rsid w:val="001546B0"/>
    <w:rsid w:val="0016385E"/>
    <w:rsid w:val="00177E87"/>
    <w:rsid w:val="0018469C"/>
    <w:rsid w:val="001E4B3D"/>
    <w:rsid w:val="002259F1"/>
    <w:rsid w:val="00267AD8"/>
    <w:rsid w:val="00376177"/>
    <w:rsid w:val="00396FE3"/>
    <w:rsid w:val="003D3B3E"/>
    <w:rsid w:val="003E67F6"/>
    <w:rsid w:val="004241DF"/>
    <w:rsid w:val="004443FD"/>
    <w:rsid w:val="004544F2"/>
    <w:rsid w:val="00463A8D"/>
    <w:rsid w:val="004736F6"/>
    <w:rsid w:val="0049587E"/>
    <w:rsid w:val="00496E57"/>
    <w:rsid w:val="004A75C3"/>
    <w:rsid w:val="004C0BDF"/>
    <w:rsid w:val="004D2CF9"/>
    <w:rsid w:val="004E0836"/>
    <w:rsid w:val="004F56F2"/>
    <w:rsid w:val="004F66B2"/>
    <w:rsid w:val="00512AF8"/>
    <w:rsid w:val="00552C0E"/>
    <w:rsid w:val="00563688"/>
    <w:rsid w:val="00563ADA"/>
    <w:rsid w:val="00571140"/>
    <w:rsid w:val="005A18B2"/>
    <w:rsid w:val="005A24D6"/>
    <w:rsid w:val="005A62EB"/>
    <w:rsid w:val="00641BEB"/>
    <w:rsid w:val="00660FFF"/>
    <w:rsid w:val="00671F30"/>
    <w:rsid w:val="00692A3F"/>
    <w:rsid w:val="00695C09"/>
    <w:rsid w:val="006A2E9B"/>
    <w:rsid w:val="006E55B9"/>
    <w:rsid w:val="006E5A12"/>
    <w:rsid w:val="006F3DF8"/>
    <w:rsid w:val="006F5F4D"/>
    <w:rsid w:val="00705DF5"/>
    <w:rsid w:val="00715A0E"/>
    <w:rsid w:val="00720AB9"/>
    <w:rsid w:val="0074008B"/>
    <w:rsid w:val="00784F39"/>
    <w:rsid w:val="007C2119"/>
    <w:rsid w:val="007C7F5D"/>
    <w:rsid w:val="007E2236"/>
    <w:rsid w:val="007F32FB"/>
    <w:rsid w:val="007F78A5"/>
    <w:rsid w:val="00800FB5"/>
    <w:rsid w:val="0080669D"/>
    <w:rsid w:val="00820EC6"/>
    <w:rsid w:val="00826E42"/>
    <w:rsid w:val="0085299C"/>
    <w:rsid w:val="008B4656"/>
    <w:rsid w:val="008E44DB"/>
    <w:rsid w:val="00907C68"/>
    <w:rsid w:val="00966F15"/>
    <w:rsid w:val="009723E1"/>
    <w:rsid w:val="00983253"/>
    <w:rsid w:val="00985296"/>
    <w:rsid w:val="009918B8"/>
    <w:rsid w:val="009B3CBD"/>
    <w:rsid w:val="00A007A3"/>
    <w:rsid w:val="00A12189"/>
    <w:rsid w:val="00A33ABB"/>
    <w:rsid w:val="00A33C02"/>
    <w:rsid w:val="00A508A3"/>
    <w:rsid w:val="00A52C5F"/>
    <w:rsid w:val="00A55C61"/>
    <w:rsid w:val="00A6594A"/>
    <w:rsid w:val="00A77415"/>
    <w:rsid w:val="00A81E43"/>
    <w:rsid w:val="00AA4F55"/>
    <w:rsid w:val="00B06557"/>
    <w:rsid w:val="00B06731"/>
    <w:rsid w:val="00B31AFF"/>
    <w:rsid w:val="00B35CA6"/>
    <w:rsid w:val="00B44BB6"/>
    <w:rsid w:val="00B45075"/>
    <w:rsid w:val="00B55375"/>
    <w:rsid w:val="00B607EB"/>
    <w:rsid w:val="00BB262F"/>
    <w:rsid w:val="00BF1860"/>
    <w:rsid w:val="00C975E6"/>
    <w:rsid w:val="00CB506C"/>
    <w:rsid w:val="00CB5FAD"/>
    <w:rsid w:val="00CC2AF8"/>
    <w:rsid w:val="00D35331"/>
    <w:rsid w:val="00D817E7"/>
    <w:rsid w:val="00D8598A"/>
    <w:rsid w:val="00DA5AC3"/>
    <w:rsid w:val="00DA76F7"/>
    <w:rsid w:val="00DF04ED"/>
    <w:rsid w:val="00DF25B1"/>
    <w:rsid w:val="00E03A7E"/>
    <w:rsid w:val="00E2310A"/>
    <w:rsid w:val="00E52F6D"/>
    <w:rsid w:val="00E73AAB"/>
    <w:rsid w:val="00EC2413"/>
    <w:rsid w:val="00ED11E9"/>
    <w:rsid w:val="00F00572"/>
    <w:rsid w:val="00F1708B"/>
    <w:rsid w:val="00F55220"/>
    <w:rsid w:val="00F93C10"/>
    <w:rsid w:val="00FA6F16"/>
    <w:rsid w:val="00FA7CCA"/>
    <w:rsid w:val="00FC18D6"/>
    <w:rsid w:val="00FE6CD4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B45"/>
    <w:pPr>
      <w:spacing w:line="360" w:lineRule="auto"/>
      <w:jc w:val="both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E42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826E42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6E42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826E42"/>
    <w:rPr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62F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BB262F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73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EDB2E-764F-4BCB-84BC-482A7928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2548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PSD</dc:creator>
  <cp:lastModifiedBy>PSD</cp:lastModifiedBy>
  <cp:revision>2</cp:revision>
  <cp:lastPrinted>2018-11-20T10:44:00Z</cp:lastPrinted>
  <dcterms:created xsi:type="dcterms:W3CDTF">2020-12-09T09:44:00Z</dcterms:created>
  <dcterms:modified xsi:type="dcterms:W3CDTF">2020-12-09T09:44:00Z</dcterms:modified>
</cp:coreProperties>
</file>